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Borders>
          <w:top w:color="000000" w:sz="4" w:val="single"/>
          <w:left w:color="000000" w:sz="4" w:val="single"/>
          <w:bottom w:color="000000" w:sz="4" w:val="single"/>
          <w:right w:color="000000" w:sz="4" w:val="single"/>
          <w:insideH w:color="000000" w:sz="4" w:val="single"/>
        </w:tblBorders>
        <w:tblLayout w:type="fixed"/>
      </w:tblPr>
      <w:tblGrid>
        <w:gridCol w:w="5382"/>
        <w:gridCol w:w="5103"/>
      </w:tblGrid>
      <w:tr>
        <w:trPr>
          <w:trHeight w:hRule="atLeast" w:val="4952"/>
        </w:trPr>
        <w:tc>
          <w:tcPr>
            <w:tcW w:type="dxa" w:w="5382"/>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01000000">
            <w:pPr>
              <w:keepNext w:val="1"/>
              <w:ind/>
              <w:jc w:val="center"/>
              <w:rPr>
                <w:sz w:val="27"/>
              </w:rPr>
            </w:pPr>
          </w:p>
          <w:p w14:paraId="02000000">
            <w:pPr>
              <w:keepNext w:val="1"/>
              <w:ind w:right="-108"/>
              <w:jc w:val="center"/>
              <w:rPr>
                <w:sz w:val="27"/>
              </w:rPr>
            </w:pPr>
            <w:r>
              <w:rPr>
                <w:sz w:val="27"/>
              </w:rPr>
              <w:drawing>
                <wp:inline>
                  <wp:extent cx="467994" cy="611505"/>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467994" cy="611505"/>
                          </a:xfrm>
                          <a:prstGeom prst="rect"/>
                        </pic:spPr>
                      </pic:pic>
                    </a:graphicData>
                  </a:graphic>
                </wp:inline>
              </w:drawing>
            </w:r>
          </w:p>
          <w:p w14:paraId="03000000">
            <w:pPr>
              <w:keepNext w:val="1"/>
              <w:ind w:right="-108"/>
              <w:jc w:val="center"/>
              <w:rPr>
                <w:b w:val="1"/>
                <w:sz w:val="27"/>
              </w:rPr>
            </w:pPr>
          </w:p>
          <w:p w14:paraId="04000000">
            <w:pPr>
              <w:keepNext w:val="1"/>
              <w:ind w:right="-108"/>
              <w:jc w:val="center"/>
              <w:rPr>
                <w:b w:val="1"/>
                <w:sz w:val="27"/>
              </w:rPr>
            </w:pPr>
            <w:r>
              <w:rPr>
                <w:b w:val="1"/>
                <w:sz w:val="27"/>
              </w:rPr>
              <w:t>РЕГИОНАЛЬНАЯ ЭНЕРГЕТИЧЕСКАЯ</w:t>
            </w:r>
          </w:p>
          <w:p w14:paraId="05000000">
            <w:pPr>
              <w:keepNext w:val="1"/>
              <w:ind w:right="-108"/>
              <w:jc w:val="center"/>
              <w:rPr>
                <w:b w:val="1"/>
                <w:sz w:val="27"/>
              </w:rPr>
            </w:pPr>
            <w:r>
              <w:rPr>
                <w:b w:val="1"/>
                <w:sz w:val="27"/>
              </w:rPr>
              <w:t>КОМИССИЯ КУЗБАССА</w:t>
            </w:r>
          </w:p>
          <w:p w14:paraId="06000000">
            <w:pPr>
              <w:keepNext w:val="1"/>
              <w:ind w:right="-108"/>
              <w:jc w:val="center"/>
              <w:rPr>
                <w:b w:val="1"/>
                <w:sz w:val="27"/>
              </w:rPr>
            </w:pPr>
            <w:r>
              <w:rPr>
                <w:b w:val="1"/>
                <w:sz w:val="27"/>
              </w:rPr>
              <w:t>(РЭК Кузбасса)</w:t>
            </w:r>
          </w:p>
          <w:p w14:paraId="07000000">
            <w:pPr>
              <w:keepNext w:val="1"/>
              <w:ind w:right="-108"/>
              <w:jc w:val="center"/>
              <w:rPr>
                <w:sz w:val="27"/>
              </w:rPr>
            </w:pPr>
          </w:p>
          <w:p w14:paraId="08000000">
            <w:pPr>
              <w:keepNext w:val="1"/>
              <w:ind w:right="-108"/>
              <w:jc w:val="center"/>
              <w:rPr>
                <w:sz w:val="22"/>
              </w:rPr>
            </w:pPr>
            <w:r>
              <w:rPr>
                <w:sz w:val="22"/>
              </w:rPr>
              <w:t>Н. Островского, ул. д.32, г. Кемерово, 650000</w:t>
            </w:r>
          </w:p>
          <w:p w14:paraId="09000000">
            <w:pPr>
              <w:keepNext w:val="1"/>
              <w:ind w:right="-108"/>
              <w:jc w:val="center"/>
              <w:rPr>
                <w:sz w:val="22"/>
              </w:rPr>
            </w:pPr>
            <w:r>
              <w:rPr>
                <w:sz w:val="22"/>
              </w:rPr>
              <w:t>Телефон/факс: (3842) 36-28-28</w:t>
            </w:r>
          </w:p>
          <w:p w14:paraId="0A000000">
            <w:pPr>
              <w:keepNext w:val="1"/>
              <w:ind w:right="-108"/>
              <w:jc w:val="center"/>
              <w:rPr>
                <w:rFonts w:ascii="Calibri" w:hAnsi="Calibri"/>
                <w:sz w:val="22"/>
              </w:rPr>
            </w:pPr>
            <w:r>
              <w:rPr>
                <w:sz w:val="22"/>
              </w:rPr>
              <w:t>e-mail</w:t>
            </w:r>
            <w:r>
              <w:rPr>
                <w:sz w:val="22"/>
              </w:rPr>
              <w:t xml:space="preserve">: </w:t>
            </w:r>
            <w:r>
              <w:rPr>
                <w:rStyle w:val="Style_2_ch"/>
                <w:sz w:val="22"/>
              </w:rPr>
              <w:fldChar w:fldCharType="begin"/>
            </w:r>
            <w:r>
              <w:rPr>
                <w:rStyle w:val="Style_2_ch"/>
                <w:sz w:val="22"/>
              </w:rPr>
              <w:instrText>HYPERLINK "mailto:delo@recko.ru"</w:instrText>
            </w:r>
            <w:r>
              <w:rPr>
                <w:rStyle w:val="Style_2_ch"/>
                <w:sz w:val="22"/>
              </w:rPr>
              <w:fldChar w:fldCharType="separate"/>
            </w:r>
            <w:r>
              <w:rPr>
                <w:rStyle w:val="Style_2_ch"/>
                <w:sz w:val="22"/>
              </w:rPr>
              <w:t>delo@recko.ru</w:t>
            </w:r>
            <w:r>
              <w:rPr>
                <w:rStyle w:val="Style_2_ch"/>
                <w:sz w:val="22"/>
              </w:rPr>
              <w:fldChar w:fldCharType="end"/>
            </w:r>
          </w:p>
          <w:p w14:paraId="0B000000">
            <w:pPr>
              <w:keepNext w:val="1"/>
              <w:ind w:right="-108"/>
              <w:jc w:val="center"/>
              <w:rPr>
                <w:sz w:val="22"/>
              </w:rPr>
            </w:pPr>
            <w:r>
              <w:rPr>
                <w:sz w:val="22"/>
              </w:rPr>
              <w:fldChar w:fldCharType="begin"/>
            </w:r>
            <w:r>
              <w:rPr>
                <w:sz w:val="22"/>
              </w:rPr>
              <w:instrText>HYPERLINK "http://kemoblast.ru"</w:instrText>
            </w:r>
            <w:r>
              <w:rPr>
                <w:sz w:val="22"/>
              </w:rPr>
              <w:fldChar w:fldCharType="separate"/>
            </w:r>
            <w:r>
              <w:rPr>
                <w:sz w:val="22"/>
              </w:rPr>
              <w:t>http://</w:t>
            </w:r>
            <w:r>
              <w:rPr>
                <w:sz w:val="22"/>
              </w:rPr>
              <w:fldChar w:fldCharType="end"/>
            </w:r>
            <w:r>
              <w:rPr>
                <w:rStyle w:val="Style_2_ch"/>
                <w:sz w:val="22"/>
              </w:rPr>
              <w:fldChar w:fldCharType="begin"/>
            </w:r>
            <w:r>
              <w:rPr>
                <w:rStyle w:val="Style_2_ch"/>
                <w:sz w:val="22"/>
              </w:rPr>
              <w:instrText>HYPERLINK "http://www.recko.ru"</w:instrText>
            </w:r>
            <w:r>
              <w:rPr>
                <w:rStyle w:val="Style_2_ch"/>
                <w:sz w:val="22"/>
              </w:rPr>
              <w:fldChar w:fldCharType="separate"/>
            </w:r>
            <w:r>
              <w:rPr>
                <w:rStyle w:val="Style_2_ch"/>
                <w:sz w:val="22"/>
              </w:rPr>
              <w:t>www.recko.ru</w:t>
            </w:r>
            <w:r>
              <w:rPr>
                <w:rStyle w:val="Style_2_ch"/>
                <w:sz w:val="22"/>
              </w:rPr>
              <w:fldChar w:fldCharType="end"/>
            </w:r>
          </w:p>
          <w:p w14:paraId="0C000000">
            <w:pPr>
              <w:keepNext w:val="1"/>
              <w:ind/>
              <w:rPr>
                <w:sz w:val="27"/>
              </w:rPr>
            </w:pPr>
            <w:r>
              <w:rPr>
                <w:sz w:val="27"/>
              </w:rPr>
              <w:t xml:space="preserve">    </w:t>
            </w:r>
          </w:p>
          <w:p w14:paraId="0D000000">
            <w:pPr>
              <w:keepNext w:val="1"/>
              <w:ind w:firstLine="731" w:left="0"/>
              <w:rPr>
                <w:sz w:val="28"/>
                <w:u w:val="single"/>
              </w:rPr>
            </w:pPr>
          </w:p>
          <w:p w14:paraId="0E000000">
            <w:pPr>
              <w:keepNext w:val="1"/>
              <w:ind/>
              <w:jc w:val="center"/>
              <w:rPr>
                <w:sz w:val="27"/>
              </w:rPr>
            </w:pPr>
          </w:p>
          <w:p w14:paraId="0F000000">
            <w:pPr>
              <w:keepNext w:val="1"/>
              <w:ind/>
              <w:rPr>
                <w:sz w:val="27"/>
              </w:rPr>
            </w:pPr>
          </w:p>
        </w:tc>
        <w:tc>
          <w:tcPr>
            <w:tcW w:type="dxa" w:w="5103"/>
            <w:tcBorders>
              <w:top w:sz="4" w:val="nil"/>
              <w:left w:sz="4" w:val="nil"/>
              <w:bottom w:sz="4" w:val="nil"/>
              <w:right w:sz="4" w:val="nil"/>
              <w:tl2br w:sz="4" w:val="nil"/>
              <w:tr2bl w:sz="4" w:val="nil"/>
            </w:tcBorders>
            <w:shd w:fill="auto" w:val="clear"/>
            <w:tcMar>
              <w:top w:type="dxa" w:w="0"/>
              <w:left w:type="dxa" w:w="108"/>
              <w:bottom w:type="dxa" w:w="0"/>
              <w:right w:type="dxa" w:w="108"/>
            </w:tcMar>
          </w:tcPr>
          <w:p w14:paraId="10000000">
            <w:pPr>
              <w:keepNext w:val="1"/>
              <w:ind/>
              <w:jc w:val="center"/>
              <w:rPr>
                <w:sz w:val="27"/>
              </w:rPr>
            </w:pPr>
          </w:p>
          <w:p w14:paraId="11000000">
            <w:pPr>
              <w:keepNext w:val="1"/>
              <w:ind/>
              <w:jc w:val="center"/>
              <w:rPr>
                <w:sz w:val="27"/>
              </w:rPr>
            </w:pPr>
          </w:p>
          <w:p w14:paraId="12000000">
            <w:pPr>
              <w:keepNext w:val="1"/>
              <w:ind/>
              <w:jc w:val="center"/>
              <w:rPr>
                <w:sz w:val="27"/>
              </w:rPr>
            </w:pPr>
          </w:p>
          <w:p w14:paraId="13000000">
            <w:pPr>
              <w:keepNext w:val="1"/>
              <w:ind/>
              <w:jc w:val="center"/>
              <w:rPr>
                <w:sz w:val="27"/>
              </w:rPr>
            </w:pPr>
          </w:p>
          <w:p w14:paraId="14000000">
            <w:pPr>
              <w:keepNext w:val="1"/>
              <w:ind/>
              <w:jc w:val="center"/>
              <w:rPr>
                <w:sz w:val="27"/>
              </w:rPr>
            </w:pPr>
          </w:p>
          <w:p w14:paraId="15000000">
            <w:pPr>
              <w:keepNext w:val="1"/>
              <w:ind/>
              <w:jc w:val="center"/>
              <w:rPr>
                <w:sz w:val="27"/>
              </w:rPr>
            </w:pPr>
          </w:p>
          <w:p w14:paraId="16000000">
            <w:pPr>
              <w:keepNext w:val="1"/>
              <w:ind/>
              <w:jc w:val="center"/>
              <w:rPr>
                <w:sz w:val="27"/>
              </w:rPr>
            </w:pPr>
          </w:p>
        </w:tc>
      </w:tr>
    </w:tbl>
    <w:p w14:paraId="17000000">
      <w:pPr>
        <w:keepNext w:val="1"/>
        <w:spacing w:before="120"/>
        <w:ind/>
        <w:jc w:val="center"/>
        <w:rPr>
          <w:rFonts w:ascii="Times New Roman" w:hAnsi="Times New Roman"/>
          <w:caps w:val="1"/>
          <w:sz w:val="28"/>
        </w:rPr>
      </w:pPr>
      <w:bookmarkStart w:id="1" w:name="_Hlk157158450"/>
      <w:bookmarkEnd w:id="1"/>
    </w:p>
    <w:p w14:paraId="18000000">
      <w:pPr>
        <w:ind/>
        <w:jc w:val="center"/>
        <w:rPr>
          <w:b w:val="1"/>
          <w:sz w:val="28"/>
        </w:rPr>
      </w:pPr>
      <w:r>
        <w:rPr>
          <w:b w:val="1"/>
          <w:sz w:val="28"/>
        </w:rPr>
        <w:t xml:space="preserve">Сведения о последствиях пользования услугами по передаче электрической энергии без заключения договора после </w:t>
      </w:r>
      <w:r>
        <w:rPr>
          <w:b w:val="1"/>
          <w:sz w:val="28"/>
        </w:rPr>
        <w:t>1 января 2025 года</w:t>
      </w:r>
    </w:p>
    <w:p w14:paraId="19000000">
      <w:pPr>
        <w:rPr>
          <w:rFonts w:ascii="Times New Roman" w:hAnsi="Times New Roman"/>
          <w:sz w:val="28"/>
        </w:rPr>
      </w:pPr>
    </w:p>
    <w:p w14:paraId="1A000000">
      <w:pPr>
        <w:ind w:firstLine="567"/>
        <w:jc w:val="both"/>
        <w:rPr>
          <w:sz w:val="28"/>
        </w:rPr>
      </w:pPr>
      <w:r>
        <w:rPr>
          <w:sz w:val="28"/>
        </w:rPr>
        <w:t>В соответствии с Федеральным законом от 13.07.2024 № 185-ФЗ «О внесении изменений в Федеральный закон «Об электроэнергетике» и отдельные законодательные акты Российской Федерации», постановлением Правительства РФ от 31.08.2024 № 1195 «О внесении изменений в некоторые акты Правительства Российской Федерации» определено следующее.</w:t>
      </w:r>
    </w:p>
    <w:p w14:paraId="1B000000">
      <w:pPr>
        <w:ind w:firstLine="567"/>
        <w:jc w:val="both"/>
        <w:rPr>
          <w:sz w:val="28"/>
        </w:rPr>
      </w:pPr>
      <w:r>
        <w:rPr>
          <w:sz w:val="28"/>
        </w:rPr>
        <w:t>В случае, если с 1 января 2025 года потребитель электрической энергии (энергосбытовая организация, гарантирующий поставщик или энергоснабжающая организация, действующие в его интересах), обязательства перед которым были прекращены в соответствии с частью 5 статьи 7 Федерального закона от 13.07.2024 № 185-ФЗ «О внесении изменений в Федеральный закон «Об электроэнергетике» и отдельные законодательные акты Российской Федерации», пользуется услугами по передаче электрической энергии без заключения договора оказания услуг по передаче электрической энергии, данный потребитель электрической энергии (энергосбытовая организация, гарантирующий поставщик или энергоснабжающая организация, действующие в его интересах) обязан оплатить системообразующей территориальной сетевой организации фактически оказанные услуги.</w:t>
      </w:r>
    </w:p>
    <w:p w14:paraId="1C000000">
      <w:pPr>
        <w:ind w:firstLine="567"/>
        <w:jc w:val="both"/>
        <w:rPr>
          <w:sz w:val="28"/>
        </w:rPr>
      </w:pPr>
      <w:r>
        <w:rPr>
          <w:sz w:val="28"/>
        </w:rPr>
        <w:t xml:space="preserve">Пользование после 28 февраля 2025 года лицами, относящимися к потребителям услуг по передаче электрической энергии, которые должны оказываться системообразующей территориальной сетевой организацией, услугами по передаче электрической энергии без договора с системообразующей территориальной сетевой организацией (в том числе если договор не заключен посредством акцепта в виде оплаты полностью </w:t>
      </w:r>
      <w:r>
        <w:rPr>
          <w:sz w:val="28"/>
        </w:rPr>
        <w:t>услуг за первый расчетный период) является основанием для введения по инициативе системообразующей территориальной сетевой организации ограничения режима потребления электрической энергии в порядке, аналогичном установленному для случаев, указанных в подпункте «в» пункта 2 Правил полного и (или) частичного ограничения режима потребления электрической энергии, утвержденных постановлением Правительства Российской Федерации от 04.05.2012 № 442 «О функционировании розничных рынков электрической энергии, полном и (или) частичном ограничении режима потребления электрической энергии» (при этом соблюдение требований абзаца четвертого пункта 23 указанных Правил не требуется).</w:t>
      </w:r>
    </w:p>
    <w:p w14:paraId="1D000000">
      <w:pPr>
        <w:ind w:firstLine="567"/>
        <w:jc w:val="both"/>
        <w:rPr>
          <w:sz w:val="28"/>
        </w:rPr>
      </w:pPr>
      <w:r>
        <w:rPr>
          <w:sz w:val="28"/>
        </w:rPr>
        <w:t>Предусмотренные последствия применяются к лицам, указанным в подпункте «б» пункта 3 постановления Правительства РФ от 31.08.2024 № 1195 «О внесении изменений в некоторые акты Правительства Российской Федерации», при условии, что им с соблюдением требований данного подпункта было направлено предложение системообразующей территориальной сетевой организации о заключении договора оказания услуг по передаче электрической энергии.</w:t>
      </w:r>
    </w:p>
    <w:p w14:paraId="1E000000">
      <w:pPr>
        <w:ind/>
        <w:jc w:val="both"/>
        <w:rPr>
          <w:sz w:val="22"/>
        </w:rPr>
      </w:pPr>
    </w:p>
    <w:p w14:paraId="1F000000">
      <w:pPr>
        <w:rPr>
          <w:sz w:val="22"/>
        </w:rPr>
      </w:pPr>
    </w:p>
    <w:p w14:paraId="20000000">
      <w:pPr>
        <w:rPr>
          <w:sz w:val="22"/>
        </w:rPr>
      </w:pPr>
    </w:p>
    <w:p w14:paraId="21000000">
      <w:pPr>
        <w:rPr>
          <w:sz w:val="22"/>
        </w:rPr>
      </w:pPr>
    </w:p>
    <w:p w14:paraId="22000000">
      <w:pPr>
        <w:rPr>
          <w:sz w:val="22"/>
        </w:rPr>
      </w:pPr>
    </w:p>
    <w:p w14:paraId="23000000">
      <w:pPr>
        <w:rPr>
          <w:sz w:val="22"/>
        </w:rPr>
      </w:pPr>
    </w:p>
    <w:p w14:paraId="24000000">
      <w:pPr>
        <w:rPr>
          <w:sz w:val="22"/>
        </w:rPr>
      </w:pPr>
    </w:p>
    <w:p w14:paraId="25000000">
      <w:pPr>
        <w:rPr>
          <w:sz w:val="22"/>
        </w:rPr>
      </w:pPr>
    </w:p>
    <w:p w14:paraId="26000000">
      <w:pPr>
        <w:rPr>
          <w:sz w:val="22"/>
        </w:rPr>
      </w:pPr>
    </w:p>
    <w:p w14:paraId="27000000">
      <w:pPr>
        <w:rPr>
          <w:sz w:val="22"/>
        </w:rPr>
      </w:pPr>
    </w:p>
    <w:p w14:paraId="28000000">
      <w:pPr>
        <w:rPr>
          <w:sz w:val="22"/>
        </w:rPr>
      </w:pPr>
    </w:p>
    <w:p w14:paraId="29000000">
      <w:pPr>
        <w:rPr>
          <w:sz w:val="22"/>
        </w:rPr>
      </w:pPr>
    </w:p>
    <w:p w14:paraId="2A000000">
      <w:pPr>
        <w:rPr>
          <w:sz w:val="22"/>
        </w:rPr>
      </w:pPr>
    </w:p>
    <w:p w14:paraId="2B000000">
      <w:pPr>
        <w:rPr>
          <w:sz w:val="22"/>
        </w:rPr>
      </w:pPr>
    </w:p>
    <w:p w14:paraId="2C000000">
      <w:pPr>
        <w:rPr>
          <w:sz w:val="22"/>
        </w:rPr>
      </w:pPr>
    </w:p>
    <w:p w14:paraId="2D000000">
      <w:pPr>
        <w:rPr>
          <w:sz w:val="22"/>
        </w:rPr>
      </w:pPr>
    </w:p>
    <w:p w14:paraId="2E000000">
      <w:pPr>
        <w:rPr>
          <w:sz w:val="22"/>
        </w:rPr>
      </w:pPr>
    </w:p>
    <w:p w14:paraId="2F000000">
      <w:pPr>
        <w:rPr>
          <w:sz w:val="22"/>
        </w:rPr>
      </w:pPr>
    </w:p>
    <w:p w14:paraId="30000000">
      <w:pPr>
        <w:rPr>
          <w:sz w:val="22"/>
        </w:rPr>
      </w:pPr>
    </w:p>
    <w:p w14:paraId="31000000">
      <w:pPr>
        <w:rPr>
          <w:sz w:val="22"/>
        </w:rPr>
      </w:pPr>
    </w:p>
    <w:p w14:paraId="32000000">
      <w:pPr>
        <w:rPr>
          <w:sz w:val="22"/>
        </w:rPr>
      </w:pPr>
    </w:p>
    <w:p w14:paraId="33000000">
      <w:pPr>
        <w:rPr>
          <w:sz w:val="22"/>
        </w:rPr>
      </w:pPr>
    </w:p>
    <w:p w14:paraId="34000000">
      <w:pPr>
        <w:rPr>
          <w:sz w:val="22"/>
        </w:rPr>
      </w:pPr>
    </w:p>
    <w:p w14:paraId="35000000">
      <w:pPr>
        <w:rPr>
          <w:sz w:val="22"/>
        </w:rPr>
      </w:pPr>
    </w:p>
    <w:p w14:paraId="36000000">
      <w:pPr>
        <w:rPr>
          <w:sz w:val="22"/>
        </w:rPr>
      </w:pPr>
    </w:p>
    <w:p w14:paraId="37000000">
      <w:pPr>
        <w:rPr>
          <w:sz w:val="22"/>
        </w:rPr>
      </w:pPr>
    </w:p>
    <w:p w14:paraId="38000000">
      <w:pPr>
        <w:rPr>
          <w:sz w:val="22"/>
        </w:rPr>
      </w:pPr>
    </w:p>
    <w:p w14:paraId="39000000">
      <w:pPr>
        <w:rPr>
          <w:sz w:val="22"/>
        </w:rPr>
      </w:pPr>
    </w:p>
    <w:sectPr>
      <w:pgSz w:h="16848" w:orient="portrait" w:w="11908"/>
      <w:pgMar w:bottom="850" w:footer="709" w:gutter="0" w:header="709"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0" w:line="240" w:lineRule="auto"/>
      <w:ind/>
    </w:pPr>
    <w:rPr>
      <w:rFonts w:ascii="Times New Roman" w:hAnsi="Times New Roman"/>
      <w:sz w:val="24"/>
    </w:rPr>
  </w:style>
  <w:style w:default="1" w:styleId="Style_3_ch" w:type="character">
    <w:name w:val="Normal"/>
    <w:link w:val="Style_3"/>
    <w:rPr>
      <w:rFonts w:ascii="Times New Roman" w:hAnsi="Times New Roman"/>
      <w:sz w:val="24"/>
    </w:rPr>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pPr>
    <w:rPr>
      <w:rFonts w:ascii="XO Thames" w:hAnsi="XO Thames"/>
      <w:sz w:val="28"/>
    </w:rPr>
  </w:style>
  <w:style w:styleId="Style_6_ch" w:type="character">
    <w:name w:val="toc 6"/>
    <w:link w:val="Style_6"/>
    <w:rPr>
      <w:rFonts w:ascii="XO Thames" w:hAnsi="XO Thames"/>
      <w:sz w:val="28"/>
    </w:rPr>
  </w:style>
  <w:style w:styleId="Style_7" w:type="paragraph">
    <w:name w:val="Основной шрифт абзаца1"/>
    <w:link w:val="Style_7_ch"/>
  </w:style>
  <w:style w:styleId="Style_7_ch" w:type="character">
    <w:name w:val="Основной шрифт абзаца1"/>
    <w:link w:val="Style_7"/>
  </w:style>
  <w:style w:styleId="Style_8" w:type="paragraph">
    <w:name w:val="toc 7"/>
    <w:next w:val="Style_3"/>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rPr>
  </w:style>
  <w:style w:styleId="Style_9_ch" w:type="character">
    <w:name w:val="Endnote"/>
    <w:link w:val="Style_9"/>
    <w:rPr>
      <w:rFonts w:ascii="XO Thames" w:hAnsi="XO Thames"/>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Обычный1"/>
    <w:link w:val="Style_11_ch"/>
    <w:rPr>
      <w:rFonts w:ascii="Times New Roman" w:hAnsi="Times New Roman"/>
      <w:sz w:val="24"/>
    </w:rPr>
  </w:style>
  <w:style w:styleId="Style_11_ch" w:type="character">
    <w:name w:val="Обычный1"/>
    <w:link w:val="Style_11"/>
    <w:rPr>
      <w:rFonts w:ascii="Times New Roman" w:hAnsi="Times New Roman"/>
      <w:sz w:val="24"/>
    </w:rPr>
  </w:style>
  <w:style w:styleId="Style_2" w:type="paragraph">
    <w:name w:val="Гиперссылка1"/>
    <w:basedOn w:val="Style_7"/>
    <w:link w:val="Style_2_ch"/>
    <w:rPr>
      <w:color w:themeColor="hyperlink" w:val="0563C1"/>
      <w:u w:val="single"/>
    </w:rPr>
  </w:style>
  <w:style w:styleId="Style_2_ch" w:type="character">
    <w:name w:val="Гиперссылка1"/>
    <w:basedOn w:val="Style_7_ch"/>
    <w:link w:val="Style_2"/>
    <w:rPr>
      <w:color w:themeColor="hyperlink" w:val="0563C1"/>
      <w:u w:val="single"/>
    </w:rPr>
  </w:style>
  <w:style w:styleId="Style_12" w:type="paragraph">
    <w:name w:val="List Paragraph"/>
    <w:basedOn w:val="Style_3"/>
    <w:link w:val="Style_12_ch"/>
    <w:pPr>
      <w:spacing w:after="200" w:line="276" w:lineRule="auto"/>
      <w:ind w:firstLine="0" w:left="720"/>
      <w:contextualSpacing w:val="1"/>
    </w:pPr>
    <w:rPr>
      <w:rFonts w:ascii="Calibri" w:hAnsi="Calibri"/>
      <w:sz w:val="22"/>
    </w:rPr>
  </w:style>
  <w:style w:styleId="Style_12_ch" w:type="character">
    <w:name w:val="List Paragraph"/>
    <w:basedOn w:val="Style_3_ch"/>
    <w:link w:val="Style_12"/>
    <w:rPr>
      <w:rFonts w:ascii="Calibri" w:hAnsi="Calibri"/>
      <w:sz w:val="22"/>
    </w:rPr>
  </w:style>
  <w:style w:styleId="Style_13" w:type="paragraph">
    <w:name w:val="toc 3"/>
    <w:next w:val="Style_3"/>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3"/>
    <w:link w:val="Style_14_ch"/>
    <w:uiPriority w:val="9"/>
    <w:qFormat/>
    <w:pPr>
      <w:spacing w:after="120" w:before="120"/>
      <w:ind/>
      <w:jc w:val="both"/>
      <w:outlineLvl w:val="4"/>
    </w:pPr>
    <w:rPr>
      <w:rFonts w:ascii="XO Thames" w:hAnsi="XO Thames"/>
      <w:b w:val="1"/>
    </w:rPr>
  </w:style>
  <w:style w:styleId="Style_14_ch" w:type="character">
    <w:name w:val="heading 5"/>
    <w:link w:val="Style_14"/>
    <w:rPr>
      <w:rFonts w:ascii="XO Thames" w:hAnsi="XO Thames"/>
      <w:b w:val="1"/>
    </w:rPr>
  </w:style>
  <w:style w:styleId="Style_15" w:type="paragraph">
    <w:name w:val="heading 1"/>
    <w:next w:val="Style_3"/>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Default Paragraph Font"/>
    <w:link w:val="Style_16_ch"/>
  </w:style>
  <w:style w:styleId="Style_16_ch" w:type="character">
    <w:name w:val="Default Paragraph Font"/>
    <w:link w:val="Style_16"/>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rPr>
  </w:style>
  <w:style w:styleId="Style_18_ch" w:type="character">
    <w:name w:val="Footnote"/>
    <w:link w:val="Style_18"/>
    <w:rPr>
      <w:rFonts w:ascii="XO Thames" w:hAnsi="XO Thames"/>
    </w:rPr>
  </w:style>
  <w:style w:styleId="Style_19" w:type="paragraph">
    <w:name w:val="toc 1"/>
    <w:next w:val="Style_3"/>
    <w:link w:val="Style_19_ch"/>
    <w:uiPriority w:val="39"/>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3"/>
    <w:link w:val="Style_21_ch"/>
    <w:uiPriority w:val="39"/>
    <w:pPr>
      <w:ind w:firstLine="0" w:left="1600"/>
    </w:pPr>
    <w:rPr>
      <w:rFonts w:ascii="XO Thames" w:hAnsi="XO Thames"/>
      <w:sz w:val="28"/>
    </w:rPr>
  </w:style>
  <w:style w:styleId="Style_21_ch" w:type="character">
    <w:name w:val="toc 9"/>
    <w:link w:val="Style_21"/>
    <w:rPr>
      <w:rFonts w:ascii="XO Thames" w:hAnsi="XO Thames"/>
      <w:sz w:val="28"/>
    </w:rPr>
  </w:style>
  <w:style w:styleId="Style_22" w:type="paragraph">
    <w:name w:val="Неразрешенное упоминание1"/>
    <w:basedOn w:val="Style_7"/>
    <w:link w:val="Style_22_ch"/>
    <w:rPr>
      <w:color w:val="605E5C"/>
      <w:shd w:fill="E1DFDD" w:val="clear"/>
    </w:rPr>
  </w:style>
  <w:style w:styleId="Style_22_ch" w:type="character">
    <w:name w:val="Неразрешенное упоминание1"/>
    <w:basedOn w:val="Style_7_ch"/>
    <w:link w:val="Style_22"/>
    <w:rPr>
      <w:color w:val="605E5C"/>
      <w:shd w:fill="E1DFDD" w:val="clear"/>
    </w:rPr>
  </w:style>
  <w:style w:styleId="Style_23" w:type="paragraph">
    <w:name w:val="toc 8"/>
    <w:next w:val="Style_3"/>
    <w:link w:val="Style_23_ch"/>
    <w:uiPriority w:val="39"/>
    <w:pPr>
      <w:ind w:firstLine="0" w:left="1400"/>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3"/>
    <w:link w:val="Style_24_ch"/>
    <w:uiPriority w:val="39"/>
    <w:pPr>
      <w:ind w:firstLine="0" w:left="800"/>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3"/>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3"/>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3"/>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3"/>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2024-09-12T08:36:48Z</dcterms:modified>
</cp:coreProperties>
</file>