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3F83" w14:textId="77777777" w:rsidR="00C65E5E" w:rsidRDefault="00C65E5E" w:rsidP="00F73473">
      <w:pPr>
        <w:tabs>
          <w:tab w:val="left" w:pos="2520"/>
        </w:tabs>
      </w:pPr>
    </w:p>
    <w:p w14:paraId="7961E186" w14:textId="77777777" w:rsidR="00C65E5E" w:rsidRDefault="00C65E5E" w:rsidP="00F73473">
      <w:pPr>
        <w:tabs>
          <w:tab w:val="left" w:pos="2520"/>
        </w:tabs>
      </w:pPr>
    </w:p>
    <w:p w14:paraId="45692C22" w14:textId="77777777" w:rsidR="00C65E5E" w:rsidRDefault="00C65E5E" w:rsidP="00C65E5E">
      <w:pPr>
        <w:tabs>
          <w:tab w:val="left" w:pos="2520"/>
        </w:tabs>
        <w:ind w:left="9072"/>
        <w:jc w:val="center"/>
      </w:pPr>
      <w:r>
        <w:t>Приложение к распоряжению</w:t>
      </w:r>
    </w:p>
    <w:p w14:paraId="30A4219E" w14:textId="6678DAA7" w:rsidR="00C65E5E" w:rsidRDefault="00C65E5E" w:rsidP="00C65E5E">
      <w:pPr>
        <w:tabs>
          <w:tab w:val="left" w:pos="2520"/>
        </w:tabs>
        <w:ind w:left="9072"/>
        <w:jc w:val="center"/>
      </w:pPr>
      <w:r>
        <w:t xml:space="preserve"> Региональной энергетической комиссии Кузбасса</w:t>
      </w:r>
    </w:p>
    <w:p w14:paraId="130D858E" w14:textId="6C7C7635" w:rsidR="00C65E5E" w:rsidRDefault="00C65E5E" w:rsidP="00C65E5E">
      <w:pPr>
        <w:tabs>
          <w:tab w:val="left" w:pos="2520"/>
        </w:tabs>
        <w:ind w:left="9072"/>
        <w:jc w:val="center"/>
      </w:pPr>
      <w:r>
        <w:t xml:space="preserve">от </w:t>
      </w:r>
      <w:r w:rsidR="002E2F34">
        <w:t>04.08.2023</w:t>
      </w:r>
      <w:r>
        <w:t xml:space="preserve"> № </w:t>
      </w:r>
      <w:r w:rsidR="002E2F34">
        <w:t>31</w:t>
      </w:r>
    </w:p>
    <w:p w14:paraId="6B89B61E" w14:textId="77777777" w:rsidR="00C65E5E" w:rsidRDefault="00C65E5E" w:rsidP="00C65E5E">
      <w:pPr>
        <w:tabs>
          <w:tab w:val="left" w:pos="2520"/>
        </w:tabs>
        <w:ind w:left="9072"/>
        <w:jc w:val="center"/>
      </w:pPr>
    </w:p>
    <w:p w14:paraId="76188FDB" w14:textId="77777777" w:rsidR="00C65E5E" w:rsidRDefault="00C65E5E" w:rsidP="00C65E5E">
      <w:pPr>
        <w:tabs>
          <w:tab w:val="left" w:pos="2520"/>
        </w:tabs>
        <w:ind w:left="9072" w:hanging="9072"/>
        <w:jc w:val="center"/>
        <w:rPr>
          <w:sz w:val="28"/>
          <w:szCs w:val="28"/>
        </w:rPr>
      </w:pPr>
      <w:r>
        <w:rPr>
          <w:sz w:val="28"/>
          <w:szCs w:val="28"/>
        </w:rPr>
        <w:t>Ключевые показатели эффективности функционирования антимонопольного комплаенса</w:t>
      </w:r>
    </w:p>
    <w:p w14:paraId="6B093F8B" w14:textId="04922816" w:rsidR="00C65E5E" w:rsidRDefault="00C65E5E" w:rsidP="00C65E5E">
      <w:pPr>
        <w:tabs>
          <w:tab w:val="left" w:pos="2520"/>
        </w:tabs>
        <w:ind w:left="9072" w:hanging="9072"/>
        <w:jc w:val="center"/>
      </w:pPr>
      <w:r>
        <w:rPr>
          <w:sz w:val="28"/>
          <w:szCs w:val="28"/>
        </w:rPr>
        <w:t xml:space="preserve"> в Р</w:t>
      </w:r>
      <w:r w:rsidRPr="008A241D">
        <w:rPr>
          <w:sz w:val="28"/>
          <w:szCs w:val="28"/>
        </w:rPr>
        <w:t xml:space="preserve">егиональной энергетической комиссией </w:t>
      </w:r>
      <w:r>
        <w:rPr>
          <w:sz w:val="28"/>
          <w:szCs w:val="28"/>
        </w:rPr>
        <w:t>Кузбасса</w:t>
      </w:r>
    </w:p>
    <w:p w14:paraId="55767BFC" w14:textId="77777777" w:rsidR="00C65E5E" w:rsidRDefault="00C65E5E" w:rsidP="00C65E5E">
      <w:pPr>
        <w:tabs>
          <w:tab w:val="left" w:pos="2520"/>
        </w:tabs>
        <w:ind w:left="9072" w:hanging="9072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853"/>
        <w:gridCol w:w="5502"/>
        <w:gridCol w:w="5051"/>
      </w:tblGrid>
      <w:tr w:rsidR="000C27E1" w14:paraId="7793EECF" w14:textId="77777777" w:rsidTr="000C27E1">
        <w:tc>
          <w:tcPr>
            <w:tcW w:w="988" w:type="dxa"/>
          </w:tcPr>
          <w:p w14:paraId="000D6082" w14:textId="4DBE8BAF" w:rsidR="000C27E1" w:rsidRDefault="000C27E1" w:rsidP="000C27E1">
            <w:pPr>
              <w:tabs>
                <w:tab w:val="left" w:pos="2520"/>
              </w:tabs>
              <w:jc w:val="center"/>
            </w:pPr>
            <w:r>
              <w:t>№ п/п</w:t>
            </w:r>
          </w:p>
        </w:tc>
        <w:tc>
          <w:tcPr>
            <w:tcW w:w="3853" w:type="dxa"/>
          </w:tcPr>
          <w:p w14:paraId="1C3C1513" w14:textId="2DDDA925" w:rsidR="000C27E1" w:rsidRDefault="000C27E1" w:rsidP="000C27E1">
            <w:pPr>
              <w:tabs>
                <w:tab w:val="left" w:pos="2520"/>
              </w:tabs>
              <w:jc w:val="center"/>
            </w:pPr>
            <w:r>
              <w:t>Ключевые показатели эффективности антимонопольного комплаенса (КПЭ)</w:t>
            </w:r>
          </w:p>
        </w:tc>
        <w:tc>
          <w:tcPr>
            <w:tcW w:w="5502" w:type="dxa"/>
          </w:tcPr>
          <w:p w14:paraId="48013612" w14:textId="005D3D35" w:rsidR="000C27E1" w:rsidRDefault="000C27E1" w:rsidP="000C27E1">
            <w:pPr>
              <w:tabs>
                <w:tab w:val="left" w:pos="2520"/>
              </w:tabs>
              <w:jc w:val="center"/>
            </w:pPr>
            <w:r>
              <w:t>Формула расчета КПЭ</w:t>
            </w:r>
          </w:p>
        </w:tc>
        <w:tc>
          <w:tcPr>
            <w:tcW w:w="5051" w:type="dxa"/>
          </w:tcPr>
          <w:p w14:paraId="7184328B" w14:textId="511F6F30" w:rsidR="000C27E1" w:rsidRDefault="000C27E1" w:rsidP="000C27E1">
            <w:pPr>
              <w:tabs>
                <w:tab w:val="left" w:pos="2520"/>
              </w:tabs>
              <w:jc w:val="center"/>
            </w:pPr>
            <w:r>
              <w:t>КПЭ определяется в отношении РЭК Кузбасса в целом/уполномоченного подразделения (должностного лица )</w:t>
            </w:r>
          </w:p>
        </w:tc>
      </w:tr>
      <w:tr w:rsidR="000C27E1" w14:paraId="680B304F" w14:textId="77777777" w:rsidTr="000C27E1">
        <w:tc>
          <w:tcPr>
            <w:tcW w:w="988" w:type="dxa"/>
          </w:tcPr>
          <w:p w14:paraId="013D8632" w14:textId="223B201F" w:rsidR="000C27E1" w:rsidRDefault="000C27E1" w:rsidP="000C27E1">
            <w:pPr>
              <w:tabs>
                <w:tab w:val="left" w:pos="2520"/>
              </w:tabs>
              <w:jc w:val="center"/>
            </w:pPr>
            <w:r>
              <w:t>1.</w:t>
            </w:r>
          </w:p>
        </w:tc>
        <w:tc>
          <w:tcPr>
            <w:tcW w:w="3853" w:type="dxa"/>
          </w:tcPr>
          <w:p w14:paraId="0AAAE375" w14:textId="2F50E550" w:rsidR="00CF77BA" w:rsidRDefault="00C55DEA" w:rsidP="002607D6">
            <w:pPr>
              <w:widowControl/>
              <w:overflowPunct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Коэффициент снижения количества нарушений антимонопольного законодательства со стороны РЭК </w:t>
            </w:r>
            <w:r w:rsidR="00AC617C">
              <w:rPr>
                <w:rFonts w:eastAsiaTheme="minorHAnsi"/>
                <w:szCs w:val="24"/>
                <w:lang w:eastAsia="en-US"/>
              </w:rPr>
              <w:t>Кузбасса за</w:t>
            </w:r>
            <w:r>
              <w:rPr>
                <w:rFonts w:eastAsiaTheme="minorHAnsi"/>
                <w:szCs w:val="24"/>
                <w:lang w:eastAsia="en-US"/>
              </w:rPr>
              <w:t xml:space="preserve"> последние три года </w:t>
            </w:r>
            <w:r w:rsidR="00CF77BA">
              <w:rPr>
                <w:rFonts w:eastAsiaTheme="minorHAnsi"/>
                <w:szCs w:val="24"/>
                <w:lang w:eastAsia="en-US"/>
              </w:rPr>
              <w:t>(КСН)</w:t>
            </w:r>
          </w:p>
          <w:p w14:paraId="3051DD8B" w14:textId="58E4C69C" w:rsidR="000C27E1" w:rsidRDefault="000C27E1" w:rsidP="00C55DEA">
            <w:pPr>
              <w:widowControl/>
              <w:overflowPunct/>
              <w:jc w:val="center"/>
              <w:textAlignment w:val="auto"/>
            </w:pPr>
          </w:p>
        </w:tc>
        <w:tc>
          <w:tcPr>
            <w:tcW w:w="5502" w:type="dxa"/>
          </w:tcPr>
          <w:p w14:paraId="19E45810" w14:textId="0746E1E1" w:rsidR="00AC617C" w:rsidRDefault="00AC617C" w:rsidP="00AC617C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Значение показателя КСН рассчитывается по формуле:</w:t>
            </w:r>
          </w:p>
          <w:p w14:paraId="68130F7D" w14:textId="77777777" w:rsidR="00AC617C" w:rsidRDefault="00AC617C" w:rsidP="00AC617C">
            <w:pPr>
              <w:widowControl/>
              <w:overflowPunct/>
              <w:ind w:firstLine="540"/>
              <w:jc w:val="both"/>
              <w:textAlignment w:val="auto"/>
              <w:outlineLvl w:val="0"/>
              <w:rPr>
                <w:rFonts w:eastAsiaTheme="minorHAnsi"/>
                <w:szCs w:val="24"/>
                <w:lang w:eastAsia="en-US"/>
              </w:rPr>
            </w:pPr>
          </w:p>
          <w:p w14:paraId="3E4618A9" w14:textId="23B2D0D4" w:rsidR="00AC617C" w:rsidRDefault="00AC617C" w:rsidP="00AC617C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noProof/>
                <w:position w:val="-24"/>
                <w:szCs w:val="24"/>
                <w:lang w:eastAsia="en-US"/>
              </w:rPr>
              <w:drawing>
                <wp:inline distT="0" distB="0" distL="0" distR="0" wp14:anchorId="305722F2" wp14:editId="12175209">
                  <wp:extent cx="1153160" cy="463550"/>
                  <wp:effectExtent l="0" t="0" r="0" b="0"/>
                  <wp:docPr id="3609211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Cs w:val="24"/>
                <w:lang w:eastAsia="en-US"/>
              </w:rPr>
              <w:t xml:space="preserve"> где</w:t>
            </w:r>
          </w:p>
          <w:p w14:paraId="222CD49A" w14:textId="77777777" w:rsidR="00AC617C" w:rsidRDefault="00AC617C" w:rsidP="00AC617C">
            <w:pPr>
              <w:widowControl/>
              <w:overflowPunct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CE4DD2E" w14:textId="675492B0" w:rsidR="00AC617C" w:rsidRDefault="00AC617C" w:rsidP="00AC617C">
            <w:pPr>
              <w:widowControl/>
              <w:overflowPunct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КСН - коэффициент снижения количества нарушений антимонопольного законодательства со стороны РЭК Кузбасса;</w:t>
            </w:r>
          </w:p>
          <w:p w14:paraId="63060141" w14:textId="4A44E408" w:rsidR="00AC617C" w:rsidRDefault="00AC617C" w:rsidP="00AC617C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КНП - количество нарушений антимонопольного законодательства со стороны РЭК Кузбасса, допущенных в отчетном периоде три года ранее;</w:t>
            </w:r>
          </w:p>
          <w:p w14:paraId="786B08C1" w14:textId="778EC1F2" w:rsidR="00AC617C" w:rsidRDefault="00AC617C" w:rsidP="00AC617C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КНоп - количество нарушений антимонопольного законодательства со стороны РЭК Кузбасса в отчетном периоде, за который рассчитывается ключевой показатель.</w:t>
            </w:r>
          </w:p>
          <w:p w14:paraId="3D3BD4C4" w14:textId="77777777" w:rsidR="00AC617C" w:rsidRDefault="00AC617C" w:rsidP="00AC617C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Для целей расчета под отчетным периодом понимается календарный год.</w:t>
            </w:r>
          </w:p>
          <w:p w14:paraId="3B5E3866" w14:textId="47F51850" w:rsidR="00AC617C" w:rsidRDefault="00AC617C" w:rsidP="00AC617C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В случае, если нарушений не допускалось, для целей расчета в соответствующем числителе или знаменателе вместо значения показателя «0» следует использовать значение показателя «0,1».</w:t>
            </w:r>
          </w:p>
          <w:p w14:paraId="28A668B0" w14:textId="762DA8B3" w:rsidR="00AC617C" w:rsidRDefault="00AC617C" w:rsidP="00AC617C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При расчете показателя снижения количества нарушений антимонопольного законодательства со стороны РЭК Кузбасса понимаются:</w:t>
            </w:r>
          </w:p>
          <w:p w14:paraId="130AF44B" w14:textId="0D5FA017" w:rsidR="00AC617C" w:rsidRDefault="00AC617C" w:rsidP="00AC617C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решения по делу о нарушении антимонопольного законодательства, принятые антимонопольным органом в отношении РЭК Кузбасса;</w:t>
            </w:r>
          </w:p>
          <w:p w14:paraId="264A983F" w14:textId="584CCB44" w:rsidR="00AC617C" w:rsidRDefault="00AC617C" w:rsidP="00AC617C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выданные антимонопольным органом РЭК Кузбасса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14:paraId="16BF68CE" w14:textId="6C22938B" w:rsidR="00AC617C" w:rsidRDefault="00AC617C" w:rsidP="00AC617C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направленные антимонопольным органом РЭК Кузбасса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14:paraId="4FACEBDF" w14:textId="77777777" w:rsidR="000C27E1" w:rsidRDefault="000C27E1" w:rsidP="000C27E1">
            <w:pPr>
              <w:tabs>
                <w:tab w:val="left" w:pos="2520"/>
              </w:tabs>
              <w:jc w:val="center"/>
            </w:pPr>
          </w:p>
        </w:tc>
        <w:tc>
          <w:tcPr>
            <w:tcW w:w="5051" w:type="dxa"/>
          </w:tcPr>
          <w:p w14:paraId="37E1AF34" w14:textId="4BD027EB" w:rsidR="000C27E1" w:rsidRDefault="00AC617C" w:rsidP="000C27E1">
            <w:pPr>
              <w:tabs>
                <w:tab w:val="left" w:pos="2520"/>
              </w:tabs>
              <w:jc w:val="center"/>
            </w:pPr>
            <w:r>
              <w:lastRenderedPageBreak/>
              <w:t xml:space="preserve">Определяется в отношении РЭК Кузбасса в целом </w:t>
            </w:r>
          </w:p>
        </w:tc>
      </w:tr>
      <w:tr w:rsidR="000C27E1" w14:paraId="493A0163" w14:textId="77777777" w:rsidTr="000C27E1">
        <w:tc>
          <w:tcPr>
            <w:tcW w:w="988" w:type="dxa"/>
          </w:tcPr>
          <w:p w14:paraId="10493F69" w14:textId="6B7B6794" w:rsidR="000C27E1" w:rsidRDefault="00AC617C" w:rsidP="000C27E1">
            <w:pPr>
              <w:tabs>
                <w:tab w:val="left" w:pos="2520"/>
              </w:tabs>
              <w:jc w:val="center"/>
            </w:pPr>
            <w:r>
              <w:t>2.</w:t>
            </w:r>
          </w:p>
        </w:tc>
        <w:tc>
          <w:tcPr>
            <w:tcW w:w="3853" w:type="dxa"/>
          </w:tcPr>
          <w:p w14:paraId="6773E6EC" w14:textId="103629E9" w:rsidR="00C76781" w:rsidRDefault="00C76781" w:rsidP="002607D6">
            <w:pPr>
              <w:widowControl/>
              <w:overflowPunct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Коэффициент эффективности выявления рисков нарушения антимонопольного законодательства в проектах нормативных правовых актов РЭК Кузбасса (Кэпнпа)</w:t>
            </w:r>
          </w:p>
          <w:p w14:paraId="17A81D8C" w14:textId="646ED29C" w:rsidR="00C76781" w:rsidRDefault="00C76781" w:rsidP="00C76781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5126A85" w14:textId="77777777" w:rsidR="000C27E1" w:rsidRDefault="000C27E1" w:rsidP="000C27E1">
            <w:pPr>
              <w:tabs>
                <w:tab w:val="left" w:pos="2520"/>
              </w:tabs>
              <w:jc w:val="center"/>
            </w:pPr>
          </w:p>
        </w:tc>
        <w:tc>
          <w:tcPr>
            <w:tcW w:w="5502" w:type="dxa"/>
          </w:tcPr>
          <w:p w14:paraId="43D5B491" w14:textId="7B47CB5B" w:rsidR="00C76781" w:rsidRDefault="00C76781" w:rsidP="00C76781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Значение показателя Кэпнпа рассчитывается по формуле:</w:t>
            </w:r>
          </w:p>
          <w:p w14:paraId="6C6DC28F" w14:textId="77777777" w:rsidR="00C76781" w:rsidRDefault="00C76781" w:rsidP="00C76781">
            <w:pPr>
              <w:widowControl/>
              <w:overflowPunct/>
              <w:ind w:firstLine="540"/>
              <w:jc w:val="both"/>
              <w:textAlignment w:val="auto"/>
              <w:outlineLvl w:val="0"/>
              <w:rPr>
                <w:rFonts w:eastAsiaTheme="minorHAnsi"/>
                <w:szCs w:val="24"/>
                <w:lang w:eastAsia="en-US"/>
              </w:rPr>
            </w:pPr>
          </w:p>
          <w:p w14:paraId="49CDDE8F" w14:textId="23AA8045" w:rsidR="00C76781" w:rsidRDefault="00C76781" w:rsidP="00C76781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noProof/>
                <w:position w:val="-24"/>
                <w:szCs w:val="24"/>
                <w:lang w:eastAsia="en-US"/>
              </w:rPr>
              <w:drawing>
                <wp:inline distT="0" distB="0" distL="0" distR="0" wp14:anchorId="02E5E6DF" wp14:editId="3B93798A">
                  <wp:extent cx="1417955" cy="463550"/>
                  <wp:effectExtent l="0" t="0" r="0" b="0"/>
                  <wp:docPr id="4912529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Cs w:val="24"/>
                <w:lang w:eastAsia="en-US"/>
              </w:rPr>
              <w:t xml:space="preserve"> где</w:t>
            </w:r>
          </w:p>
          <w:p w14:paraId="79E00277" w14:textId="77777777" w:rsidR="00C76781" w:rsidRDefault="00C76781" w:rsidP="00C76781">
            <w:pPr>
              <w:widowControl/>
              <w:overflowPunct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1CB8C5D" w14:textId="6A46DA53" w:rsidR="00C76781" w:rsidRDefault="00C76781" w:rsidP="00C76781">
            <w:pPr>
              <w:widowControl/>
              <w:overflowPunct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Кэпнпа - коэффициент эффективности выявления рисков нарушения антимонопольного законодательства в проектах нормативных правовых актов </w:t>
            </w:r>
            <w:r w:rsidR="006B0019">
              <w:rPr>
                <w:rFonts w:eastAsiaTheme="minorHAnsi"/>
                <w:szCs w:val="24"/>
                <w:lang w:eastAsia="en-US"/>
              </w:rPr>
              <w:t>РЭК Кузбасса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</w:p>
          <w:p w14:paraId="18D48C73" w14:textId="3785A539" w:rsidR="00C76781" w:rsidRDefault="00C76781" w:rsidP="00C76781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Кпнпа - количество проектов нормативных правовых актов </w:t>
            </w:r>
            <w:r w:rsidR="006B0019">
              <w:rPr>
                <w:rFonts w:eastAsiaTheme="minorHAnsi"/>
                <w:szCs w:val="24"/>
                <w:lang w:eastAsia="en-US"/>
              </w:rPr>
              <w:t>РЭК Кузбасса</w:t>
            </w:r>
            <w:r>
              <w:rPr>
                <w:rFonts w:eastAsiaTheme="minorHAnsi"/>
                <w:szCs w:val="24"/>
                <w:lang w:eastAsia="en-US"/>
              </w:rPr>
              <w:t>, в которых данным органом выявлены риски нарушения антимонопольного законодательства (в отчетном периоде);</w:t>
            </w:r>
          </w:p>
          <w:p w14:paraId="2D1CE840" w14:textId="352BC8DB" w:rsidR="00C76781" w:rsidRDefault="00C76781" w:rsidP="00C76781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Кноп - количество проектов нормативных правовых актов </w:t>
            </w:r>
            <w:r w:rsidR="006B0019">
              <w:rPr>
                <w:rFonts w:eastAsiaTheme="minorHAnsi"/>
                <w:szCs w:val="24"/>
                <w:lang w:eastAsia="en-US"/>
              </w:rPr>
              <w:t>РЭК Кузбасса</w:t>
            </w:r>
            <w:r>
              <w:rPr>
                <w:rFonts w:eastAsiaTheme="minorHAnsi"/>
                <w:szCs w:val="24"/>
                <w:lang w:eastAsia="en-US"/>
              </w:rPr>
      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      </w:r>
          </w:p>
          <w:p w14:paraId="4906BC3C" w14:textId="7DDE2125" w:rsidR="00C76781" w:rsidRDefault="00C76781" w:rsidP="00C76781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В случае, если за отчетный период в проектах актов антимонопольным органом или </w:t>
            </w:r>
            <w:r w:rsidR="006B0019">
              <w:rPr>
                <w:rFonts w:eastAsiaTheme="minorHAnsi"/>
                <w:szCs w:val="24"/>
                <w:lang w:eastAsia="en-US"/>
              </w:rPr>
              <w:t>РЭК Кузбасса</w:t>
            </w:r>
            <w:r>
              <w:rPr>
                <w:rFonts w:eastAsiaTheme="minorHAnsi"/>
                <w:szCs w:val="24"/>
                <w:lang w:eastAsia="en-US"/>
              </w:rPr>
              <w:t xml:space="preserve">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</w:t>
            </w:r>
            <w:r w:rsidR="006B0019">
              <w:rPr>
                <w:rFonts w:eastAsiaTheme="minorHAnsi"/>
                <w:szCs w:val="24"/>
                <w:lang w:eastAsia="en-US"/>
              </w:rPr>
              <w:t>«</w:t>
            </w:r>
            <w:r>
              <w:rPr>
                <w:rFonts w:eastAsiaTheme="minorHAnsi"/>
                <w:szCs w:val="24"/>
                <w:lang w:eastAsia="en-US"/>
              </w:rPr>
              <w:t>0</w:t>
            </w:r>
            <w:r w:rsidR="006B0019">
              <w:rPr>
                <w:rFonts w:eastAsiaTheme="minorHAnsi"/>
                <w:szCs w:val="24"/>
                <w:lang w:eastAsia="en-US"/>
              </w:rPr>
              <w:t>»</w:t>
            </w:r>
            <w:r>
              <w:rPr>
                <w:rFonts w:eastAsiaTheme="minorHAnsi"/>
                <w:szCs w:val="24"/>
                <w:lang w:eastAsia="en-US"/>
              </w:rPr>
              <w:t xml:space="preserve"> следует использовать значение показателя </w:t>
            </w:r>
            <w:r w:rsidR="006B0019">
              <w:rPr>
                <w:rFonts w:eastAsiaTheme="minorHAnsi"/>
                <w:szCs w:val="24"/>
                <w:lang w:eastAsia="en-US"/>
              </w:rPr>
              <w:t>«</w:t>
            </w:r>
            <w:r>
              <w:rPr>
                <w:rFonts w:eastAsiaTheme="minorHAnsi"/>
                <w:szCs w:val="24"/>
                <w:lang w:eastAsia="en-US"/>
              </w:rPr>
              <w:t>0,1</w:t>
            </w:r>
            <w:r w:rsidR="006B0019">
              <w:rPr>
                <w:rFonts w:eastAsiaTheme="minorHAnsi"/>
                <w:szCs w:val="24"/>
                <w:lang w:eastAsia="en-US"/>
              </w:rPr>
              <w:t>»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</w:p>
          <w:p w14:paraId="0E8D662F" w14:textId="77777777" w:rsidR="000C27E1" w:rsidRDefault="000C27E1" w:rsidP="000C27E1">
            <w:pPr>
              <w:tabs>
                <w:tab w:val="left" w:pos="2520"/>
              </w:tabs>
              <w:jc w:val="center"/>
            </w:pPr>
          </w:p>
        </w:tc>
        <w:tc>
          <w:tcPr>
            <w:tcW w:w="5051" w:type="dxa"/>
          </w:tcPr>
          <w:p w14:paraId="6195C1D5" w14:textId="2A91ACA7" w:rsidR="000C27E1" w:rsidRDefault="002607D6" w:rsidP="000C27E1">
            <w:pPr>
              <w:tabs>
                <w:tab w:val="left" w:pos="2520"/>
              </w:tabs>
              <w:jc w:val="center"/>
            </w:pPr>
            <w:r>
              <w:lastRenderedPageBreak/>
              <w:t>Определяется в отношении РЭК Кузбасса в целом</w:t>
            </w:r>
          </w:p>
        </w:tc>
      </w:tr>
      <w:tr w:rsidR="000C27E1" w14:paraId="4A503C01" w14:textId="77777777" w:rsidTr="000C27E1">
        <w:tc>
          <w:tcPr>
            <w:tcW w:w="988" w:type="dxa"/>
          </w:tcPr>
          <w:p w14:paraId="51541A37" w14:textId="6339BC00" w:rsidR="000C27E1" w:rsidRDefault="002607D6" w:rsidP="000C27E1">
            <w:pPr>
              <w:tabs>
                <w:tab w:val="left" w:pos="2520"/>
              </w:tabs>
              <w:jc w:val="center"/>
            </w:pPr>
            <w:r>
              <w:t>3.</w:t>
            </w:r>
          </w:p>
        </w:tc>
        <w:tc>
          <w:tcPr>
            <w:tcW w:w="3853" w:type="dxa"/>
          </w:tcPr>
          <w:p w14:paraId="44BC0AB4" w14:textId="683E4DA8" w:rsidR="002607D6" w:rsidRDefault="002607D6" w:rsidP="002607D6">
            <w:pPr>
              <w:widowControl/>
              <w:overflowPunct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 (Кэнпа)</w:t>
            </w:r>
          </w:p>
          <w:p w14:paraId="010BCB9B" w14:textId="7CF376BA" w:rsidR="002607D6" w:rsidRDefault="002607D6" w:rsidP="002607D6">
            <w:pPr>
              <w:widowControl/>
              <w:overflowPunct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27E955C" w14:textId="77777777" w:rsidR="000C27E1" w:rsidRDefault="000C27E1" w:rsidP="000C27E1">
            <w:pPr>
              <w:tabs>
                <w:tab w:val="left" w:pos="2520"/>
              </w:tabs>
              <w:jc w:val="center"/>
            </w:pPr>
          </w:p>
        </w:tc>
        <w:tc>
          <w:tcPr>
            <w:tcW w:w="5502" w:type="dxa"/>
          </w:tcPr>
          <w:p w14:paraId="7FEA99A8" w14:textId="6615AD8D" w:rsidR="002607D6" w:rsidRDefault="002607D6" w:rsidP="002607D6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Значение показателя Кэнпа рассчитывается по формуле:</w:t>
            </w:r>
          </w:p>
          <w:p w14:paraId="3B5212F7" w14:textId="3C917A1E" w:rsidR="002607D6" w:rsidRDefault="002607D6" w:rsidP="002607D6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noProof/>
                <w:position w:val="-24"/>
                <w:szCs w:val="24"/>
                <w:lang w:eastAsia="en-US"/>
              </w:rPr>
              <w:drawing>
                <wp:inline distT="0" distB="0" distL="0" distR="0" wp14:anchorId="331854F8" wp14:editId="649B802F">
                  <wp:extent cx="1271905" cy="463550"/>
                  <wp:effectExtent l="0" t="0" r="0" b="0"/>
                  <wp:docPr id="7589540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Cs w:val="24"/>
                <w:lang w:eastAsia="en-US"/>
              </w:rPr>
              <w:t xml:space="preserve"> где</w:t>
            </w:r>
          </w:p>
          <w:p w14:paraId="56AE5A75" w14:textId="77777777" w:rsidR="002607D6" w:rsidRDefault="002607D6" w:rsidP="002607D6">
            <w:pPr>
              <w:widowControl/>
              <w:overflowPunct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9D11457" w14:textId="0EC93BCB" w:rsidR="002607D6" w:rsidRDefault="002607D6" w:rsidP="002607D6">
            <w:pPr>
              <w:widowControl/>
              <w:overflowPunct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Кэнпа - коэффициент эффективности выявления нарушений антимонопольного законодательства в нормативных правовых актах РЭК Кузбасса;</w:t>
            </w:r>
          </w:p>
          <w:p w14:paraId="650645A3" w14:textId="6B29994B" w:rsidR="002607D6" w:rsidRDefault="002607D6" w:rsidP="002607D6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Кнпа - количество нормативных правовых актов РЭК Кузбасса, в которых данным органом выявлены риски нарушения антимонопольного законодательства (в отчетном периоде);</w:t>
            </w:r>
          </w:p>
          <w:p w14:paraId="3CAA7E1E" w14:textId="0855B6D0" w:rsidR="002607D6" w:rsidRDefault="002607D6" w:rsidP="002607D6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КНоп - количество нормативных правовых актов РЭК Кузбасса, в которых антимонопольным органом выявлены нарушения антимонопольного законодательства (в отчетном периоде).</w:t>
            </w:r>
          </w:p>
          <w:p w14:paraId="73B5210F" w14:textId="03EBEFA2" w:rsidR="002607D6" w:rsidRDefault="002607D6" w:rsidP="002607D6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 случае, если за отчетный период нормативные правовые акты, нарушающие антимонопольное законодательство, антимонопольным органом или РЭК Кузбасса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 значение показателя «0,1»</w:t>
            </w:r>
          </w:p>
          <w:p w14:paraId="6D34BB0B" w14:textId="77777777" w:rsidR="000C27E1" w:rsidRDefault="000C27E1" w:rsidP="000C27E1">
            <w:pPr>
              <w:tabs>
                <w:tab w:val="left" w:pos="2520"/>
              </w:tabs>
              <w:jc w:val="center"/>
            </w:pPr>
          </w:p>
        </w:tc>
        <w:tc>
          <w:tcPr>
            <w:tcW w:w="5051" w:type="dxa"/>
          </w:tcPr>
          <w:p w14:paraId="1AF87FEC" w14:textId="0FBA3794" w:rsidR="000C27E1" w:rsidRDefault="00D04AC2" w:rsidP="000C27E1">
            <w:pPr>
              <w:tabs>
                <w:tab w:val="left" w:pos="2520"/>
              </w:tabs>
              <w:jc w:val="center"/>
            </w:pPr>
            <w:r>
              <w:lastRenderedPageBreak/>
              <w:t>Определяется в отношении РЭК Кузбасса в целом</w:t>
            </w:r>
          </w:p>
        </w:tc>
      </w:tr>
      <w:tr w:rsidR="000C27E1" w14:paraId="2FA59991" w14:textId="77777777" w:rsidTr="000C27E1">
        <w:tc>
          <w:tcPr>
            <w:tcW w:w="988" w:type="dxa"/>
          </w:tcPr>
          <w:p w14:paraId="031ABFD8" w14:textId="1C8CE9E3" w:rsidR="000C27E1" w:rsidRDefault="00D04AC2" w:rsidP="000C27E1">
            <w:pPr>
              <w:tabs>
                <w:tab w:val="left" w:pos="2520"/>
              </w:tabs>
              <w:jc w:val="center"/>
            </w:pPr>
            <w:r>
              <w:t>4</w:t>
            </w:r>
            <w:r w:rsidR="00226857">
              <w:t>.</w:t>
            </w:r>
          </w:p>
        </w:tc>
        <w:tc>
          <w:tcPr>
            <w:tcW w:w="3853" w:type="dxa"/>
          </w:tcPr>
          <w:p w14:paraId="6B1AFA25" w14:textId="3E2ED853" w:rsidR="00D04AC2" w:rsidRDefault="00D04AC2" w:rsidP="00D04AC2">
            <w:pPr>
              <w:widowControl/>
              <w:overflowPunct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Доля сотрудников РЭК Кузбасса, в отношении которых были проведены обучающие мероприятия по антимонопольному законодательству и антимонопольному комплаенсу</w:t>
            </w:r>
            <w:r w:rsidR="00245D8D">
              <w:rPr>
                <w:rFonts w:eastAsiaTheme="minorHAnsi"/>
                <w:szCs w:val="24"/>
                <w:lang w:eastAsia="en-US"/>
              </w:rPr>
              <w:t xml:space="preserve"> (ДСо)</w:t>
            </w:r>
          </w:p>
          <w:p w14:paraId="343E6DE7" w14:textId="77777777" w:rsidR="000C27E1" w:rsidRDefault="000C27E1" w:rsidP="000C27E1">
            <w:pPr>
              <w:tabs>
                <w:tab w:val="left" w:pos="2520"/>
              </w:tabs>
              <w:jc w:val="center"/>
            </w:pPr>
          </w:p>
        </w:tc>
        <w:tc>
          <w:tcPr>
            <w:tcW w:w="5502" w:type="dxa"/>
          </w:tcPr>
          <w:p w14:paraId="309DA06E" w14:textId="5B7E70B5" w:rsidR="007D522B" w:rsidRDefault="007D522B" w:rsidP="007D522B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Значение показателя ДСо рассчитывается по формуле:</w:t>
            </w:r>
          </w:p>
          <w:p w14:paraId="51FDBB46" w14:textId="77777777" w:rsidR="00245D8D" w:rsidRDefault="00245D8D" w:rsidP="00245D8D">
            <w:pPr>
              <w:widowControl/>
              <w:overflowPunct/>
              <w:ind w:firstLine="540"/>
              <w:jc w:val="both"/>
              <w:textAlignment w:val="auto"/>
              <w:outlineLvl w:val="0"/>
              <w:rPr>
                <w:rFonts w:eastAsiaTheme="minorHAnsi"/>
                <w:szCs w:val="24"/>
                <w:lang w:eastAsia="en-US"/>
              </w:rPr>
            </w:pPr>
          </w:p>
          <w:p w14:paraId="0E0650B0" w14:textId="68620620" w:rsidR="00245D8D" w:rsidRDefault="00245D8D" w:rsidP="00245D8D">
            <w:pPr>
              <w:widowControl/>
              <w:overflowPunct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noProof/>
                <w:position w:val="-26"/>
                <w:szCs w:val="24"/>
                <w:lang w:eastAsia="en-US"/>
              </w:rPr>
              <w:drawing>
                <wp:inline distT="0" distB="0" distL="0" distR="0" wp14:anchorId="28ED6C00" wp14:editId="534064A6">
                  <wp:extent cx="1245870" cy="490220"/>
                  <wp:effectExtent l="0" t="0" r="0" b="5080"/>
                  <wp:docPr id="74077990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Cs w:val="24"/>
                <w:lang w:eastAsia="en-US"/>
              </w:rPr>
              <w:t xml:space="preserve"> где</w:t>
            </w:r>
          </w:p>
          <w:p w14:paraId="235224C4" w14:textId="77777777" w:rsidR="00245D8D" w:rsidRDefault="00245D8D" w:rsidP="00245D8D">
            <w:pPr>
              <w:widowControl/>
              <w:overflowPunct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15928DB" w14:textId="4AA07AF5" w:rsidR="00245D8D" w:rsidRDefault="00245D8D" w:rsidP="00245D8D">
            <w:pPr>
              <w:widowControl/>
              <w:overflowPunct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ДСо - доля сотрудников </w:t>
            </w:r>
            <w:r w:rsidR="007D522B">
              <w:rPr>
                <w:rFonts w:eastAsiaTheme="minorHAnsi"/>
                <w:szCs w:val="24"/>
                <w:lang w:eastAsia="en-US"/>
              </w:rPr>
              <w:t>РЭК Кузбасса</w:t>
            </w:r>
            <w:r>
              <w:rPr>
                <w:rFonts w:eastAsiaTheme="minorHAnsi"/>
                <w:szCs w:val="24"/>
                <w:lang w:eastAsia="en-US"/>
              </w:rPr>
              <w:t xml:space="preserve">, с которыми были проведены обучающие мероприятия по антимонопольному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>законодательству и антимонопольному комплаенсу;</w:t>
            </w:r>
          </w:p>
          <w:p w14:paraId="74810F21" w14:textId="4D59BD1A" w:rsidR="00245D8D" w:rsidRDefault="00245D8D" w:rsidP="00245D8D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КСо - количество сотрудников </w:t>
            </w:r>
            <w:r w:rsidR="007D522B">
              <w:rPr>
                <w:rFonts w:eastAsiaTheme="minorHAnsi"/>
                <w:szCs w:val="24"/>
                <w:lang w:eastAsia="en-US"/>
              </w:rPr>
              <w:t>РЭК Кузбасса</w:t>
            </w:r>
            <w:r>
              <w:rPr>
                <w:rFonts w:eastAsiaTheme="minorHAnsi"/>
                <w:szCs w:val="24"/>
                <w:lang w:eastAsia="en-US"/>
              </w:rPr>
              <w:t>, 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комплаенсу;</w:t>
            </w:r>
          </w:p>
          <w:p w14:paraId="162E6053" w14:textId="1B25FD7B" w:rsidR="00245D8D" w:rsidRDefault="00245D8D" w:rsidP="00245D8D">
            <w:pPr>
              <w:widowControl/>
              <w:overflowPunct/>
              <w:spacing w:before="240"/>
              <w:ind w:firstLine="540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КСобщ - общее количество сотрудников </w:t>
            </w:r>
            <w:r w:rsidR="007D522B">
              <w:rPr>
                <w:rFonts w:eastAsiaTheme="minorHAnsi"/>
                <w:szCs w:val="24"/>
                <w:lang w:eastAsia="en-US"/>
              </w:rPr>
              <w:t>РЭК Кузбасса</w:t>
            </w:r>
            <w:r>
              <w:rPr>
                <w:rFonts w:eastAsiaTheme="minorHAnsi"/>
                <w:szCs w:val="24"/>
                <w:lang w:eastAsia="en-US"/>
              </w:rPr>
      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      </w:r>
          </w:p>
          <w:p w14:paraId="5A0B05BE" w14:textId="77777777" w:rsidR="000C27E1" w:rsidRDefault="000C27E1" w:rsidP="000C27E1">
            <w:pPr>
              <w:tabs>
                <w:tab w:val="left" w:pos="2520"/>
              </w:tabs>
              <w:jc w:val="center"/>
            </w:pPr>
          </w:p>
        </w:tc>
        <w:tc>
          <w:tcPr>
            <w:tcW w:w="5051" w:type="dxa"/>
          </w:tcPr>
          <w:p w14:paraId="73E83E29" w14:textId="2A9D3DE4" w:rsidR="000C27E1" w:rsidRDefault="00996097" w:rsidP="000C27E1">
            <w:pPr>
              <w:tabs>
                <w:tab w:val="left" w:pos="2520"/>
              </w:tabs>
              <w:jc w:val="center"/>
            </w:pPr>
            <w:r>
              <w:lastRenderedPageBreak/>
              <w:t xml:space="preserve">Определяется в отношении должностного лица РЭК Кузбасса </w:t>
            </w:r>
          </w:p>
        </w:tc>
      </w:tr>
    </w:tbl>
    <w:p w14:paraId="595FCF97" w14:textId="77777777" w:rsidR="00C65E5E" w:rsidRPr="00F73473" w:rsidRDefault="00C65E5E" w:rsidP="000C27E1">
      <w:pPr>
        <w:tabs>
          <w:tab w:val="left" w:pos="2520"/>
        </w:tabs>
        <w:jc w:val="center"/>
      </w:pPr>
    </w:p>
    <w:sectPr w:rsidR="00C65E5E" w:rsidRPr="00F73473" w:rsidSect="006A6F25">
      <w:headerReference w:type="default" r:id="rId11"/>
      <w:pgSz w:w="16838" w:h="11906" w:orient="landscape"/>
      <w:pgMar w:top="1418" w:right="992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3FF5" w14:textId="77777777" w:rsidR="006A6F25" w:rsidRDefault="006A6F25" w:rsidP="00866713">
      <w:r>
        <w:separator/>
      </w:r>
    </w:p>
  </w:endnote>
  <w:endnote w:type="continuationSeparator" w:id="0">
    <w:p w14:paraId="780D6624" w14:textId="77777777" w:rsidR="006A6F25" w:rsidRDefault="006A6F25" w:rsidP="0086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9D67" w14:textId="77777777" w:rsidR="006A6F25" w:rsidRDefault="006A6F25" w:rsidP="00866713">
      <w:r>
        <w:separator/>
      </w:r>
    </w:p>
  </w:footnote>
  <w:footnote w:type="continuationSeparator" w:id="0">
    <w:p w14:paraId="5F9B987A" w14:textId="77777777" w:rsidR="006A6F25" w:rsidRDefault="006A6F25" w:rsidP="0086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334677"/>
      <w:docPartObj>
        <w:docPartGallery w:val="Page Numbers (Top of Page)"/>
        <w:docPartUnique/>
      </w:docPartObj>
    </w:sdtPr>
    <w:sdtContent>
      <w:p w14:paraId="1EFFEC04" w14:textId="260E80FA" w:rsidR="00866713" w:rsidRDefault="008667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DEB30" w14:textId="77777777" w:rsidR="00866713" w:rsidRDefault="008667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835"/>
    <w:multiLevelType w:val="multilevel"/>
    <w:tmpl w:val="0698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74CBB"/>
    <w:multiLevelType w:val="hybridMultilevel"/>
    <w:tmpl w:val="07220532"/>
    <w:lvl w:ilvl="0" w:tplc="C4B4CA22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FD0E72"/>
    <w:multiLevelType w:val="hybridMultilevel"/>
    <w:tmpl w:val="87D814BC"/>
    <w:lvl w:ilvl="0" w:tplc="698EFAB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3966935">
    <w:abstractNumId w:val="0"/>
  </w:num>
  <w:num w:numId="2" w16cid:durableId="1250504033">
    <w:abstractNumId w:val="2"/>
  </w:num>
  <w:num w:numId="3" w16cid:durableId="2328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41"/>
    <w:rsid w:val="0002024F"/>
    <w:rsid w:val="00044014"/>
    <w:rsid w:val="000931E3"/>
    <w:rsid w:val="000C27E1"/>
    <w:rsid w:val="001459FC"/>
    <w:rsid w:val="001538EF"/>
    <w:rsid w:val="00173338"/>
    <w:rsid w:val="001816F1"/>
    <w:rsid w:val="002262B1"/>
    <w:rsid w:val="00226857"/>
    <w:rsid w:val="00245D8D"/>
    <w:rsid w:val="00255E22"/>
    <w:rsid w:val="002607D6"/>
    <w:rsid w:val="002772E3"/>
    <w:rsid w:val="002E2F0C"/>
    <w:rsid w:val="002E2F34"/>
    <w:rsid w:val="00350BE0"/>
    <w:rsid w:val="00377501"/>
    <w:rsid w:val="003B3DAC"/>
    <w:rsid w:val="003C096E"/>
    <w:rsid w:val="003E654B"/>
    <w:rsid w:val="00400A1A"/>
    <w:rsid w:val="00497019"/>
    <w:rsid w:val="004F6379"/>
    <w:rsid w:val="004F7A85"/>
    <w:rsid w:val="0053078C"/>
    <w:rsid w:val="00532A6D"/>
    <w:rsid w:val="00546E61"/>
    <w:rsid w:val="0057752D"/>
    <w:rsid w:val="005B6770"/>
    <w:rsid w:val="005E703F"/>
    <w:rsid w:val="00624E93"/>
    <w:rsid w:val="00686740"/>
    <w:rsid w:val="006A6F25"/>
    <w:rsid w:val="006B0019"/>
    <w:rsid w:val="006E6D40"/>
    <w:rsid w:val="0076494D"/>
    <w:rsid w:val="0077597A"/>
    <w:rsid w:val="007B3AE2"/>
    <w:rsid w:val="007D522B"/>
    <w:rsid w:val="007E16A1"/>
    <w:rsid w:val="00802714"/>
    <w:rsid w:val="00821905"/>
    <w:rsid w:val="008400E2"/>
    <w:rsid w:val="00866713"/>
    <w:rsid w:val="008A1E6E"/>
    <w:rsid w:val="008A4FB7"/>
    <w:rsid w:val="008E4B59"/>
    <w:rsid w:val="009120CD"/>
    <w:rsid w:val="009952C1"/>
    <w:rsid w:val="00996097"/>
    <w:rsid w:val="009B58E5"/>
    <w:rsid w:val="009C13DE"/>
    <w:rsid w:val="009F1378"/>
    <w:rsid w:val="00A03141"/>
    <w:rsid w:val="00A80899"/>
    <w:rsid w:val="00A82B50"/>
    <w:rsid w:val="00A85506"/>
    <w:rsid w:val="00AA275A"/>
    <w:rsid w:val="00AC617C"/>
    <w:rsid w:val="00AF6D77"/>
    <w:rsid w:val="00B05533"/>
    <w:rsid w:val="00B4436B"/>
    <w:rsid w:val="00BA4EF4"/>
    <w:rsid w:val="00BC147C"/>
    <w:rsid w:val="00BC71E8"/>
    <w:rsid w:val="00BE6D21"/>
    <w:rsid w:val="00C103BD"/>
    <w:rsid w:val="00C2003E"/>
    <w:rsid w:val="00C55DEA"/>
    <w:rsid w:val="00C65E5E"/>
    <w:rsid w:val="00C76781"/>
    <w:rsid w:val="00C87748"/>
    <w:rsid w:val="00CC6805"/>
    <w:rsid w:val="00CD65A9"/>
    <w:rsid w:val="00CF77BA"/>
    <w:rsid w:val="00D04AC2"/>
    <w:rsid w:val="00D05D4D"/>
    <w:rsid w:val="00D0684D"/>
    <w:rsid w:val="00D7504F"/>
    <w:rsid w:val="00D80BA7"/>
    <w:rsid w:val="00D82693"/>
    <w:rsid w:val="00E12121"/>
    <w:rsid w:val="00E15DB8"/>
    <w:rsid w:val="00E97020"/>
    <w:rsid w:val="00F73473"/>
    <w:rsid w:val="00F82633"/>
    <w:rsid w:val="00FD2D81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8A73"/>
  <w15:chartTrackingRefBased/>
  <w15:docId w15:val="{2739AF3E-2A2D-4281-B013-1336936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5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2B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B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82B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A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1"/>
    <w:rsid w:val="00CD65A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CD65A9"/>
    <w:pPr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spacing w:val="1"/>
      <w:sz w:val="25"/>
      <w:szCs w:val="25"/>
      <w:lang w:eastAsia="en-US"/>
    </w:rPr>
  </w:style>
  <w:style w:type="table" w:styleId="a7">
    <w:name w:val="Table Grid"/>
    <w:basedOn w:val="a1"/>
    <w:uiPriority w:val="39"/>
    <w:rsid w:val="000C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67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6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66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67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55</cp:revision>
  <cp:lastPrinted>2020-11-17T02:55:00Z</cp:lastPrinted>
  <dcterms:created xsi:type="dcterms:W3CDTF">2020-02-12T04:04:00Z</dcterms:created>
  <dcterms:modified xsi:type="dcterms:W3CDTF">2024-02-06T05:46:00Z</dcterms:modified>
</cp:coreProperties>
</file>