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8C07B4" w:rsidRDefault="008930E9" w:rsidP="008C07B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8C07B4">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0952DE" w:rsidRPr="000952DE" w:rsidRDefault="008930E9" w:rsidP="000952DE">
      <w:pPr>
        <w:tabs>
          <w:tab w:val="left" w:pos="1560"/>
        </w:tabs>
        <w:spacing w:after="0" w:line="240" w:lineRule="auto"/>
        <w:jc w:val="center"/>
        <w:rPr>
          <w:rFonts w:ascii="Times New Roman" w:hAnsi="Times New Roman" w:cs="Times New Roman"/>
          <w:b/>
          <w:bCs/>
          <w:color w:val="000000"/>
          <w:kern w:val="32"/>
          <w:sz w:val="28"/>
          <w:szCs w:val="28"/>
        </w:rPr>
      </w:pPr>
      <w:r w:rsidRPr="000952DE">
        <w:rPr>
          <w:rFonts w:ascii="Times New Roman" w:eastAsia="Times New Roman" w:hAnsi="Times New Roman" w:cs="Times New Roman"/>
          <w:b/>
          <w:bCs/>
          <w:kern w:val="32"/>
          <w:sz w:val="28"/>
          <w:szCs w:val="28"/>
          <w:lang w:eastAsia="ru-RU"/>
        </w:rPr>
        <w:t>«</w:t>
      </w:r>
      <w:r w:rsidR="000952DE" w:rsidRPr="000952DE">
        <w:rPr>
          <w:rFonts w:ascii="Times New Roman" w:hAnsi="Times New Roman" w:cs="Times New Roman"/>
          <w:b/>
          <w:bCs/>
          <w:color w:val="000000"/>
          <w:kern w:val="32"/>
          <w:sz w:val="28"/>
          <w:szCs w:val="28"/>
        </w:rPr>
        <w:t>Об установлении долгосрочных параметров регулирования</w:t>
      </w:r>
    </w:p>
    <w:p w:rsidR="000952DE" w:rsidRPr="000952DE" w:rsidRDefault="000952DE" w:rsidP="000952DE">
      <w:pPr>
        <w:tabs>
          <w:tab w:val="left" w:pos="1560"/>
        </w:tabs>
        <w:spacing w:after="0" w:line="240" w:lineRule="auto"/>
        <w:jc w:val="center"/>
        <w:rPr>
          <w:rFonts w:ascii="Times New Roman" w:hAnsi="Times New Roman" w:cs="Times New Roman"/>
          <w:b/>
          <w:bCs/>
          <w:color w:val="000000"/>
          <w:kern w:val="32"/>
          <w:sz w:val="28"/>
          <w:szCs w:val="28"/>
        </w:rPr>
      </w:pPr>
      <w:r w:rsidRPr="000952DE">
        <w:rPr>
          <w:rFonts w:ascii="Times New Roman" w:hAnsi="Times New Roman" w:cs="Times New Roman"/>
          <w:b/>
          <w:bCs/>
          <w:color w:val="000000"/>
          <w:kern w:val="32"/>
          <w:sz w:val="28"/>
          <w:szCs w:val="28"/>
        </w:rPr>
        <w:t xml:space="preserve">и долгосрочных тарифов </w:t>
      </w:r>
      <w:bookmarkStart w:id="0" w:name="_Hlk528157507"/>
      <w:r w:rsidRPr="000952DE">
        <w:rPr>
          <w:rFonts w:ascii="Times New Roman" w:hAnsi="Times New Roman" w:cs="Times New Roman"/>
          <w:b/>
          <w:bCs/>
          <w:color w:val="000000"/>
          <w:kern w:val="32"/>
          <w:sz w:val="28"/>
          <w:szCs w:val="28"/>
        </w:rPr>
        <w:t>ООО «Водоканал»</w:t>
      </w:r>
      <w:bookmarkEnd w:id="0"/>
    </w:p>
    <w:p w:rsidR="00F62605" w:rsidRPr="000952DE" w:rsidRDefault="000952DE" w:rsidP="000952DE">
      <w:pPr>
        <w:tabs>
          <w:tab w:val="left" w:pos="1560"/>
        </w:tabs>
        <w:spacing w:after="0" w:line="240" w:lineRule="auto"/>
        <w:jc w:val="center"/>
        <w:rPr>
          <w:rFonts w:ascii="Times New Roman" w:eastAsia="Times New Roman" w:hAnsi="Times New Roman" w:cs="Times New Roman"/>
          <w:b/>
          <w:bCs/>
          <w:color w:val="000000"/>
          <w:kern w:val="32"/>
          <w:sz w:val="28"/>
          <w:szCs w:val="28"/>
          <w:lang w:eastAsia="ru-RU"/>
        </w:rPr>
      </w:pPr>
      <w:r w:rsidRPr="000952DE">
        <w:rPr>
          <w:rFonts w:ascii="Times New Roman" w:hAnsi="Times New Roman" w:cs="Times New Roman"/>
          <w:b/>
          <w:bCs/>
          <w:color w:val="000000"/>
          <w:kern w:val="32"/>
          <w:sz w:val="28"/>
          <w:szCs w:val="28"/>
        </w:rPr>
        <w:t>на тепловую энергию, реализуемую на потребительском рынке</w:t>
      </w:r>
      <w:r w:rsidRPr="000952DE">
        <w:rPr>
          <w:rFonts w:ascii="Times New Roman" w:hAnsi="Times New Roman" w:cs="Times New Roman"/>
          <w:b/>
          <w:bCs/>
          <w:color w:val="000000"/>
          <w:kern w:val="32"/>
          <w:sz w:val="28"/>
          <w:szCs w:val="28"/>
        </w:rPr>
        <w:br/>
        <w:t>г. Новокузнецка, на 2019-2023 годы</w:t>
      </w:r>
      <w:r w:rsidR="008930E9" w:rsidRPr="000952DE">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8C07B4">
        <w:rPr>
          <w:rFonts w:ascii="Times New Roman" w:hAnsi="Times New Roman" w:cs="Times New Roman"/>
          <w:sz w:val="28"/>
          <w:szCs w:val="28"/>
        </w:rPr>
        <w:t>9</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8C07B4">
        <w:rPr>
          <w:rFonts w:ascii="Times New Roman" w:hAnsi="Times New Roman" w:cs="Times New Roman"/>
          <w:sz w:val="28"/>
          <w:szCs w:val="28"/>
        </w:rPr>
        <w:t>5</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7B195A" w:rsidRDefault="00F62605" w:rsidP="007B195A">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82047A" w:rsidRPr="0082047A">
        <w:rPr>
          <w:rFonts w:ascii="Times New Roman" w:hAnsi="Times New Roman" w:cs="Times New Roman"/>
          <w:bCs/>
          <w:color w:val="000000"/>
          <w:kern w:val="32"/>
          <w:sz w:val="28"/>
          <w:szCs w:val="28"/>
        </w:rPr>
        <w:t>приказом ФСТ России от</w:t>
      </w:r>
      <w:r w:rsidR="0082047A" w:rsidRPr="0082047A">
        <w:rPr>
          <w:rFonts w:ascii="Times New Roman" w:hAnsi="Times New Roman" w:cs="Times New Roman"/>
          <w:b/>
          <w:bCs/>
          <w:color w:val="000000"/>
          <w:kern w:val="32"/>
          <w:sz w:val="28"/>
          <w:szCs w:val="28"/>
        </w:rPr>
        <w:t xml:space="preserve"> </w:t>
      </w:r>
      <w:r w:rsidR="0082047A" w:rsidRPr="0082047A">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081E6D" w:rsidRPr="0082047A">
        <w:rPr>
          <w:rFonts w:ascii="Times New Roman" w:hAnsi="Times New Roman" w:cs="Times New Roman"/>
          <w:bCs/>
          <w:color w:val="000000"/>
          <w:kern w:val="32"/>
          <w:sz w:val="28"/>
          <w:szCs w:val="28"/>
        </w:rPr>
        <w:t>,</w:t>
      </w:r>
      <w:r w:rsidR="00081E6D" w:rsidRPr="00081E6D">
        <w:rPr>
          <w:rFonts w:ascii="Times New Roman" w:hAnsi="Times New Roman" w:cs="Times New Roman"/>
          <w:bCs/>
          <w:color w:val="000000"/>
          <w:kern w:val="32"/>
          <w:sz w:val="28"/>
          <w:szCs w:val="28"/>
        </w:rPr>
        <w:t xml:space="preserve">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w:t>
      </w:r>
      <w:r w:rsidRPr="007B195A">
        <w:rPr>
          <w:rFonts w:ascii="Times New Roman" w:eastAsia="Times New Roman" w:hAnsi="Times New Roman" w:cs="Times New Roman"/>
          <w:bCs/>
          <w:kern w:val="32"/>
          <w:sz w:val="28"/>
          <w:szCs w:val="28"/>
          <w:lang w:eastAsia="ru-RU"/>
        </w:rPr>
        <w:t xml:space="preserve">рассмотрено заявление </w:t>
      </w:r>
      <w:r w:rsidR="00081E6D" w:rsidRPr="007B195A">
        <w:rPr>
          <w:rFonts w:ascii="Times New Roman" w:eastAsia="Times New Roman" w:hAnsi="Times New Roman" w:cs="Times New Roman"/>
          <w:bCs/>
          <w:kern w:val="32"/>
          <w:sz w:val="28"/>
          <w:szCs w:val="28"/>
          <w:lang w:eastAsia="ru-RU"/>
        </w:rPr>
        <w:t xml:space="preserve">от </w:t>
      </w:r>
      <w:r w:rsidR="006F6AF4" w:rsidRPr="007B195A">
        <w:rPr>
          <w:rFonts w:ascii="Times New Roman" w:hAnsi="Times New Roman" w:cs="Times New Roman"/>
          <w:bCs/>
          <w:color w:val="000000"/>
          <w:kern w:val="32"/>
          <w:sz w:val="28"/>
          <w:szCs w:val="28"/>
        </w:rPr>
        <w:t>ООО «</w:t>
      </w:r>
      <w:r w:rsidR="007B195A" w:rsidRPr="007B195A">
        <w:rPr>
          <w:rFonts w:ascii="Times New Roman" w:hAnsi="Times New Roman" w:cs="Times New Roman"/>
          <w:bCs/>
          <w:color w:val="000000"/>
          <w:kern w:val="32"/>
          <w:sz w:val="28"/>
          <w:szCs w:val="28"/>
        </w:rPr>
        <w:t>Водоканал</w:t>
      </w:r>
      <w:r w:rsidR="006F6AF4" w:rsidRPr="007B195A">
        <w:rPr>
          <w:rFonts w:ascii="Times New Roman" w:hAnsi="Times New Roman" w:cs="Times New Roman"/>
          <w:bCs/>
          <w:color w:val="000000"/>
          <w:kern w:val="32"/>
          <w:sz w:val="28"/>
          <w:szCs w:val="28"/>
        </w:rPr>
        <w:t>»</w:t>
      </w:r>
      <w:r w:rsidR="008916E1" w:rsidRPr="007B195A">
        <w:rPr>
          <w:rFonts w:ascii="Times New Roman" w:hAnsi="Times New Roman" w:cs="Times New Roman"/>
          <w:bCs/>
          <w:color w:val="000000"/>
          <w:kern w:val="32"/>
          <w:sz w:val="28"/>
          <w:szCs w:val="28"/>
        </w:rPr>
        <w:t>.</w:t>
      </w:r>
      <w:r w:rsidR="00726057" w:rsidRPr="007B195A">
        <w:rPr>
          <w:rFonts w:ascii="Times New Roman" w:hAnsi="Times New Roman" w:cs="Times New Roman"/>
          <w:b/>
          <w:sz w:val="28"/>
          <w:szCs w:val="28"/>
        </w:rPr>
        <w:t xml:space="preserve"> </w:t>
      </w:r>
    </w:p>
    <w:p w:rsidR="00F62605" w:rsidRPr="007B195A" w:rsidRDefault="00F62605" w:rsidP="007B195A">
      <w:pPr>
        <w:spacing w:after="0" w:line="240" w:lineRule="auto"/>
        <w:ind w:right="-2" w:firstLine="567"/>
        <w:jc w:val="both"/>
        <w:rPr>
          <w:rFonts w:ascii="Times New Roman" w:hAnsi="Times New Roman" w:cs="Times New Roman"/>
          <w:b/>
          <w:sz w:val="28"/>
          <w:szCs w:val="28"/>
        </w:rPr>
      </w:pPr>
      <w:r w:rsidRPr="007B195A">
        <w:rPr>
          <w:rFonts w:ascii="Times New Roman" w:hAnsi="Times New Roman" w:cs="Times New Roman"/>
          <w:b/>
          <w:sz w:val="28"/>
          <w:szCs w:val="28"/>
        </w:rPr>
        <w:t xml:space="preserve">Цели предлагаемого нормативного правового акта: </w:t>
      </w:r>
    </w:p>
    <w:p w:rsidR="00A467DE" w:rsidRPr="00A467DE" w:rsidRDefault="00A467DE" w:rsidP="00A467DE">
      <w:pPr>
        <w:numPr>
          <w:ilvl w:val="0"/>
          <w:numId w:val="3"/>
        </w:numPr>
        <w:tabs>
          <w:tab w:val="left" w:pos="0"/>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A467DE">
        <w:rPr>
          <w:rFonts w:ascii="Times New Roman" w:hAnsi="Times New Roman" w:cs="Times New Roman"/>
          <w:bCs/>
          <w:color w:val="000000"/>
          <w:kern w:val="32"/>
          <w:sz w:val="28"/>
          <w:szCs w:val="28"/>
        </w:rPr>
        <w:t>Установить ООО «Водоканал», ИНН 4217166136, долгосрочные параметры регулирования для формирования долгосрочных тарифов на тепловую энергию, реализуемую на потребительском рынке г. Новокузнецка, на период с 01.01.2019 по 31.12.2023.</w:t>
      </w:r>
    </w:p>
    <w:p w:rsidR="00087186" w:rsidRPr="00A467DE" w:rsidRDefault="00A467DE" w:rsidP="00A467DE">
      <w:pPr>
        <w:tabs>
          <w:tab w:val="left" w:pos="851"/>
          <w:tab w:val="left" w:pos="1134"/>
        </w:tabs>
        <w:spacing w:after="0" w:line="240" w:lineRule="auto"/>
        <w:ind w:firstLine="567"/>
        <w:jc w:val="both"/>
        <w:rPr>
          <w:rFonts w:ascii="Times New Roman" w:hAnsi="Times New Roman" w:cs="Times New Roman"/>
          <w:bCs/>
          <w:color w:val="000000"/>
          <w:kern w:val="32"/>
          <w:sz w:val="28"/>
          <w:szCs w:val="28"/>
        </w:rPr>
      </w:pPr>
      <w:r w:rsidRPr="00A467DE">
        <w:rPr>
          <w:rFonts w:ascii="Times New Roman" w:hAnsi="Times New Roman" w:cs="Times New Roman"/>
          <w:bCs/>
          <w:color w:val="000000"/>
          <w:kern w:val="32"/>
          <w:sz w:val="28"/>
          <w:szCs w:val="28"/>
        </w:rPr>
        <w:t>2.</w:t>
      </w:r>
      <w:r w:rsidRPr="00A467DE">
        <w:rPr>
          <w:rFonts w:ascii="Times New Roman" w:hAnsi="Times New Roman" w:cs="Times New Roman"/>
          <w:bCs/>
          <w:color w:val="000000"/>
          <w:kern w:val="32"/>
          <w:sz w:val="28"/>
          <w:szCs w:val="28"/>
        </w:rPr>
        <w:tab/>
        <w:t>Установить ООО «Водоканал», ИНН 4217166136, долгосрочные тарифы на тепловую энергию, реализуемую на потребительском рынке</w:t>
      </w:r>
      <w:r w:rsidR="00316318">
        <w:rPr>
          <w:rFonts w:ascii="Times New Roman" w:hAnsi="Times New Roman" w:cs="Times New Roman"/>
          <w:bCs/>
          <w:color w:val="000000"/>
          <w:kern w:val="32"/>
          <w:sz w:val="28"/>
          <w:szCs w:val="28"/>
        </w:rPr>
        <w:t xml:space="preserve"> </w:t>
      </w:r>
      <w:bookmarkStart w:id="1" w:name="_GoBack"/>
      <w:bookmarkEnd w:id="1"/>
      <w:r w:rsidRPr="00A467DE">
        <w:rPr>
          <w:rFonts w:ascii="Times New Roman" w:hAnsi="Times New Roman" w:cs="Times New Roman"/>
          <w:bCs/>
          <w:color w:val="000000"/>
          <w:kern w:val="32"/>
          <w:sz w:val="28"/>
          <w:szCs w:val="28"/>
        </w:rPr>
        <w:t>г. Новокузнецка, на период с 01.01.2019 по 31.12.2023</w:t>
      </w:r>
      <w:r w:rsidR="00087186" w:rsidRPr="00A467DE">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3163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0952DE"/>
    <w:rsid w:val="001269C8"/>
    <w:rsid w:val="00127954"/>
    <w:rsid w:val="001458BA"/>
    <w:rsid w:val="00153FF0"/>
    <w:rsid w:val="001A2E99"/>
    <w:rsid w:val="001C6C24"/>
    <w:rsid w:val="00220CC7"/>
    <w:rsid w:val="002D48E2"/>
    <w:rsid w:val="002F7C92"/>
    <w:rsid w:val="00316318"/>
    <w:rsid w:val="0046142E"/>
    <w:rsid w:val="00501B32"/>
    <w:rsid w:val="005132EC"/>
    <w:rsid w:val="00584073"/>
    <w:rsid w:val="006068CD"/>
    <w:rsid w:val="006A73A0"/>
    <w:rsid w:val="006F6AF4"/>
    <w:rsid w:val="00726057"/>
    <w:rsid w:val="00747C4F"/>
    <w:rsid w:val="007B195A"/>
    <w:rsid w:val="0082047A"/>
    <w:rsid w:val="0084232D"/>
    <w:rsid w:val="008916E1"/>
    <w:rsid w:val="008930E9"/>
    <w:rsid w:val="008A589A"/>
    <w:rsid w:val="008C07B4"/>
    <w:rsid w:val="0096138E"/>
    <w:rsid w:val="00A467DE"/>
    <w:rsid w:val="00A560E3"/>
    <w:rsid w:val="00A66605"/>
    <w:rsid w:val="00A8601A"/>
    <w:rsid w:val="00B47530"/>
    <w:rsid w:val="00C048D3"/>
    <w:rsid w:val="00C41BE2"/>
    <w:rsid w:val="00D1476A"/>
    <w:rsid w:val="00DD4E32"/>
    <w:rsid w:val="00EC7819"/>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5DA1"/>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43</cp:revision>
  <dcterms:created xsi:type="dcterms:W3CDTF">2018-11-07T07:22:00Z</dcterms:created>
  <dcterms:modified xsi:type="dcterms:W3CDTF">2018-11-28T06:37:00Z</dcterms:modified>
</cp:coreProperties>
</file>