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55257" w:rsidRDefault="00C657E1" w:rsidP="00555257">
      <w:pPr>
        <w:jc w:val="center"/>
        <w:rPr>
          <w:b/>
          <w:bCs/>
          <w:kern w:val="32"/>
          <w:sz w:val="28"/>
          <w:szCs w:val="28"/>
        </w:rPr>
      </w:pPr>
      <w:r>
        <w:rPr>
          <w:b/>
          <w:bCs/>
          <w:kern w:val="32"/>
          <w:sz w:val="28"/>
          <w:szCs w:val="28"/>
        </w:rPr>
        <w:t>«</w:t>
      </w:r>
      <w:r w:rsidR="00555257" w:rsidRPr="007C52A9">
        <w:rPr>
          <w:b/>
          <w:bCs/>
          <w:kern w:val="32"/>
          <w:sz w:val="28"/>
          <w:szCs w:val="28"/>
        </w:rPr>
        <w:t xml:space="preserve">Об </w:t>
      </w:r>
      <w:r w:rsidR="00555257">
        <w:rPr>
          <w:b/>
          <w:bCs/>
          <w:kern w:val="32"/>
          <w:sz w:val="28"/>
          <w:szCs w:val="28"/>
        </w:rPr>
        <w:t xml:space="preserve">установлении долгосрочных параметров регулирования </w:t>
      </w:r>
    </w:p>
    <w:p w:rsidR="00555257" w:rsidRPr="00E14F88" w:rsidRDefault="00555257" w:rsidP="00555257">
      <w:pPr>
        <w:jc w:val="center"/>
        <w:rPr>
          <w:b/>
          <w:sz w:val="28"/>
          <w:szCs w:val="28"/>
        </w:rPr>
      </w:pPr>
      <w:r>
        <w:rPr>
          <w:b/>
          <w:bCs/>
          <w:kern w:val="32"/>
          <w:sz w:val="28"/>
          <w:szCs w:val="28"/>
        </w:rPr>
        <w:t xml:space="preserve">тарифов </w:t>
      </w:r>
      <w:r w:rsidRPr="007C52A9">
        <w:rPr>
          <w:b/>
          <w:bCs/>
          <w:kern w:val="32"/>
          <w:sz w:val="28"/>
          <w:szCs w:val="28"/>
        </w:rPr>
        <w:t xml:space="preserve">в </w:t>
      </w:r>
      <w:r w:rsidRPr="00E14F88">
        <w:rPr>
          <w:b/>
          <w:bCs/>
          <w:kern w:val="32"/>
          <w:sz w:val="28"/>
          <w:szCs w:val="28"/>
        </w:rPr>
        <w:t xml:space="preserve">сфере холодного водоснабжения питьевой водой, водоотведения </w:t>
      </w:r>
      <w:r w:rsidRPr="00E14F88">
        <w:rPr>
          <w:b/>
          <w:sz w:val="28"/>
          <w:szCs w:val="28"/>
        </w:rPr>
        <w:t xml:space="preserve">МП «Водоканал» </w:t>
      </w:r>
      <w:proofErr w:type="spellStart"/>
      <w:r>
        <w:rPr>
          <w:b/>
          <w:sz w:val="28"/>
          <w:szCs w:val="28"/>
        </w:rPr>
        <w:t>Тайгинского</w:t>
      </w:r>
      <w:proofErr w:type="spellEnd"/>
      <w:r>
        <w:rPr>
          <w:b/>
          <w:sz w:val="28"/>
          <w:szCs w:val="28"/>
        </w:rPr>
        <w:t xml:space="preserve"> городского округа</w:t>
      </w:r>
    </w:p>
    <w:p w:rsidR="00555257" w:rsidRPr="00E14F88" w:rsidRDefault="00555257" w:rsidP="00555257">
      <w:pPr>
        <w:jc w:val="center"/>
        <w:rPr>
          <w:b/>
          <w:bCs/>
          <w:kern w:val="32"/>
          <w:sz w:val="28"/>
          <w:szCs w:val="28"/>
        </w:rPr>
      </w:pPr>
      <w:r w:rsidRPr="00E14F88">
        <w:rPr>
          <w:b/>
          <w:sz w:val="28"/>
          <w:szCs w:val="28"/>
        </w:rPr>
        <w:t xml:space="preserve">(г. </w:t>
      </w:r>
      <w:r>
        <w:rPr>
          <w:b/>
          <w:sz w:val="28"/>
          <w:szCs w:val="28"/>
        </w:rPr>
        <w:t>Тайга</w:t>
      </w:r>
      <w:r w:rsidRPr="00E14F88">
        <w:rPr>
          <w:b/>
          <w:sz w:val="28"/>
          <w:szCs w:val="28"/>
        </w:rPr>
        <w:t>)</w:t>
      </w:r>
      <w:r>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20</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312A9B">
        <w:rPr>
          <w:rFonts w:eastAsiaTheme="minorHAnsi"/>
          <w:sz w:val="28"/>
          <w:szCs w:val="28"/>
          <w:lang w:eastAsia="en-US"/>
        </w:rPr>
        <w:t>6</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312A9B">
        <w:rPr>
          <w:rFonts w:eastAsiaTheme="minorHAnsi"/>
          <w:sz w:val="28"/>
          <w:szCs w:val="28"/>
          <w:lang w:eastAsia="en-US"/>
        </w:rPr>
        <w:t>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312A9B" w:rsidRDefault="00555257" w:rsidP="00555257">
      <w:pPr>
        <w:widowControl/>
        <w:overflowPunct/>
        <w:ind w:firstLine="567"/>
        <w:jc w:val="both"/>
        <w:textAlignment w:val="auto"/>
        <w:rPr>
          <w:rFonts w:eastAsiaTheme="minorHAnsi"/>
          <w:sz w:val="28"/>
          <w:szCs w:val="28"/>
          <w:lang w:eastAsia="en-US"/>
        </w:rPr>
      </w:pPr>
      <w:r w:rsidRPr="00555257">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555257">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sidRPr="00555257">
        <w:rPr>
          <w:rFonts w:eastAsiaTheme="minorHAnsi"/>
          <w:sz w:val="28"/>
          <w:szCs w:val="28"/>
          <w:lang w:eastAsia="en-US"/>
        </w:rPr>
        <w:t>о</w:t>
      </w:r>
      <w:r w:rsidRPr="00555257">
        <w:rPr>
          <w:rFonts w:eastAsiaTheme="minorHAnsi"/>
          <w:sz w:val="28"/>
          <w:szCs w:val="28"/>
          <w:lang w:eastAsia="en-US"/>
        </w:rPr>
        <w:t xml:space="preserve">б установлении долгосрочных параметров регулирования </w:t>
      </w:r>
      <w:r>
        <w:rPr>
          <w:rFonts w:eastAsiaTheme="minorHAnsi"/>
          <w:sz w:val="28"/>
          <w:szCs w:val="28"/>
          <w:lang w:eastAsia="en-US"/>
        </w:rPr>
        <w:t xml:space="preserve"> </w:t>
      </w:r>
      <w:r w:rsidRPr="00555257">
        <w:rPr>
          <w:rFonts w:eastAsiaTheme="minorHAnsi"/>
          <w:sz w:val="28"/>
          <w:szCs w:val="28"/>
          <w:lang w:eastAsia="en-US"/>
        </w:rPr>
        <w:t xml:space="preserve">тарифов в сфере холодного водоснабжения питьевой водой, водоотведения МП «Водоканал» </w:t>
      </w:r>
      <w:proofErr w:type="spellStart"/>
      <w:r w:rsidRPr="00555257">
        <w:rPr>
          <w:rFonts w:eastAsiaTheme="minorHAnsi"/>
          <w:sz w:val="28"/>
          <w:szCs w:val="28"/>
          <w:lang w:eastAsia="en-US"/>
        </w:rPr>
        <w:t>Тайгинского</w:t>
      </w:r>
      <w:proofErr w:type="spellEnd"/>
      <w:r w:rsidRPr="00555257">
        <w:rPr>
          <w:rFonts w:eastAsiaTheme="minorHAnsi"/>
          <w:sz w:val="28"/>
          <w:szCs w:val="28"/>
          <w:lang w:eastAsia="en-US"/>
        </w:rPr>
        <w:t xml:space="preserve"> городского округа</w:t>
      </w:r>
      <w:r>
        <w:rPr>
          <w:rFonts w:eastAsiaTheme="minorHAnsi"/>
          <w:sz w:val="28"/>
          <w:szCs w:val="28"/>
          <w:lang w:eastAsia="en-US"/>
        </w:rPr>
        <w:t xml:space="preserve"> </w:t>
      </w:r>
      <w:r w:rsidRPr="00555257">
        <w:rPr>
          <w:rFonts w:eastAsiaTheme="minorHAnsi"/>
          <w:sz w:val="28"/>
          <w:szCs w:val="28"/>
          <w:lang w:eastAsia="en-US"/>
        </w:rPr>
        <w:t>(г. Тайга)</w:t>
      </w:r>
      <w:r w:rsidR="008F2768">
        <w:rPr>
          <w:rFonts w:eastAsiaTheme="minorHAnsi"/>
          <w:sz w:val="28"/>
          <w:szCs w:val="28"/>
          <w:lang w:eastAsia="en-US"/>
        </w:rPr>
        <w:t>.</w:t>
      </w:r>
    </w:p>
    <w:p w:rsidR="008F2768" w:rsidRPr="008F2768" w:rsidRDefault="008F2768" w:rsidP="008F2768">
      <w:pPr>
        <w:widowControl/>
        <w:overflowPunct/>
        <w:ind w:firstLine="567"/>
        <w:jc w:val="both"/>
        <w:textAlignment w:val="auto"/>
        <w:rPr>
          <w:rFonts w:eastAsiaTheme="minorHAnsi"/>
          <w:sz w:val="28"/>
          <w:szCs w:val="28"/>
          <w:lang w:eastAsia="en-US"/>
        </w:rPr>
      </w:pPr>
    </w:p>
    <w:p w:rsidR="0028231E" w:rsidRDefault="004A075E" w:rsidP="00312A9B">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C657E1" w:rsidRDefault="00555257" w:rsidP="00724576">
      <w:pPr>
        <w:ind w:firstLine="709"/>
        <w:jc w:val="both"/>
        <w:rPr>
          <w:bCs/>
          <w:kern w:val="32"/>
          <w:sz w:val="28"/>
          <w:szCs w:val="28"/>
        </w:rPr>
      </w:pPr>
      <w:r>
        <w:rPr>
          <w:bCs/>
          <w:kern w:val="32"/>
          <w:sz w:val="28"/>
          <w:szCs w:val="28"/>
        </w:rPr>
        <w:t xml:space="preserve">Установить </w:t>
      </w:r>
      <w:bookmarkStart w:id="0" w:name="OLE_LINK1"/>
      <w:r w:rsidRPr="005A68B9">
        <w:rPr>
          <w:color w:val="000000" w:themeColor="text1"/>
          <w:sz w:val="28"/>
          <w:szCs w:val="28"/>
        </w:rPr>
        <w:t xml:space="preserve">МП «Водоканал» </w:t>
      </w:r>
      <w:proofErr w:type="spellStart"/>
      <w:r w:rsidRPr="005A68B9">
        <w:rPr>
          <w:color w:val="000000" w:themeColor="text1"/>
          <w:sz w:val="28"/>
          <w:szCs w:val="28"/>
        </w:rPr>
        <w:t>Тайгинского</w:t>
      </w:r>
      <w:proofErr w:type="spellEnd"/>
      <w:r w:rsidRPr="005A68B9">
        <w:rPr>
          <w:color w:val="000000" w:themeColor="text1"/>
          <w:sz w:val="28"/>
          <w:szCs w:val="28"/>
        </w:rPr>
        <w:t xml:space="preserve"> городского округа (г. Тайга)</w:t>
      </w:r>
      <w:bookmarkEnd w:id="0"/>
      <w:r w:rsidRPr="005A68B9">
        <w:rPr>
          <w:bCs/>
          <w:color w:val="000000" w:themeColor="text1"/>
          <w:kern w:val="32"/>
          <w:sz w:val="28"/>
          <w:szCs w:val="28"/>
        </w:rPr>
        <w:t xml:space="preserve">, ИНН </w:t>
      </w:r>
      <w:r w:rsidRPr="005A68B9">
        <w:rPr>
          <w:color w:val="000000" w:themeColor="text1"/>
          <w:sz w:val="28"/>
          <w:szCs w:val="28"/>
        </w:rPr>
        <w:t>4246018157</w:t>
      </w:r>
      <w:r w:rsidRPr="00E14F88">
        <w:rPr>
          <w:bCs/>
          <w:kern w:val="32"/>
          <w:sz w:val="28"/>
          <w:szCs w:val="28"/>
        </w:rPr>
        <w:t>,</w:t>
      </w:r>
      <w:r w:rsidRPr="00C17112">
        <w:rPr>
          <w:bCs/>
          <w:color w:val="FF0000"/>
          <w:kern w:val="32"/>
          <w:sz w:val="28"/>
          <w:szCs w:val="28"/>
        </w:rPr>
        <w:t xml:space="preserve"> </w:t>
      </w:r>
      <w:r>
        <w:rPr>
          <w:bCs/>
          <w:kern w:val="32"/>
          <w:sz w:val="28"/>
          <w:szCs w:val="28"/>
        </w:rPr>
        <w:t xml:space="preserve">долгосрочные параметры регулирования тарифов </w:t>
      </w:r>
      <w:r w:rsidRPr="00E14F88">
        <w:rPr>
          <w:bCs/>
          <w:kern w:val="32"/>
          <w:sz w:val="28"/>
          <w:szCs w:val="28"/>
        </w:rPr>
        <w:t>на питьевую воду, водоотведение на период с 01.01.2019 п</w:t>
      </w:r>
      <w:r>
        <w:rPr>
          <w:bCs/>
          <w:kern w:val="32"/>
          <w:sz w:val="28"/>
          <w:szCs w:val="28"/>
        </w:rPr>
        <w:t>о 31.12.2023</w:t>
      </w:r>
      <w:r>
        <w:rPr>
          <w:bCs/>
          <w:kern w:val="32"/>
          <w:sz w:val="28"/>
          <w:szCs w:val="28"/>
        </w:rPr>
        <w:t>.</w:t>
      </w:r>
    </w:p>
    <w:p w:rsidR="00555257" w:rsidRPr="00312A9B" w:rsidRDefault="00555257" w:rsidP="00724576">
      <w:pPr>
        <w:ind w:firstLine="709"/>
        <w:jc w:val="both"/>
        <w:rPr>
          <w:rFonts w:eastAsiaTheme="minorHAnsi"/>
          <w:sz w:val="28"/>
          <w:szCs w:val="28"/>
          <w:lang w:eastAsia="en-US"/>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AF2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5499</TotalTime>
  <Pages>4</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468</cp:revision>
  <cp:lastPrinted>2015-04-07T10:41:00Z</cp:lastPrinted>
  <dcterms:created xsi:type="dcterms:W3CDTF">2015-03-27T04:21:00Z</dcterms:created>
  <dcterms:modified xsi:type="dcterms:W3CDTF">2018-09-19T06:15:00Z</dcterms:modified>
</cp:coreProperties>
</file>