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7E2F45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DC59E1" wp14:editId="7C70B306">
                <wp:simplePos x="0" y="0"/>
                <wp:positionH relativeFrom="column">
                  <wp:posOffset>5199797</wp:posOffset>
                </wp:positionH>
                <wp:positionV relativeFrom="paragraph">
                  <wp:posOffset>38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F45" w:rsidRDefault="007E2F45" w:rsidP="007E2F45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C59E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9.45pt;margin-top:0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">
                <v:textbox style="mso-fit-shape-to-text:t">
                  <w:txbxContent>
                    <w:p w:rsidR="007E2F45" w:rsidRDefault="007E2F45" w:rsidP="007E2F45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237F7F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963DDE" w:rsidRDefault="00237F7F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А</w:t>
      </w:r>
      <w:r w:rsidR="00A227F5"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</w:t>
      </w:r>
      <w:r>
        <w:rPr>
          <w:b/>
          <w:bCs/>
          <w:color w:val="000000"/>
          <w:kern w:val="32"/>
          <w:sz w:val="28"/>
          <w:szCs w:val="28"/>
        </w:rPr>
        <w:t>ранснефть-Западная Сибирь</w:t>
      </w:r>
      <w:r w:rsidR="00A227F5"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</w:p>
    <w:p w:rsidR="00EC05BE" w:rsidRPr="00677C8E" w:rsidRDefault="005B66E2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г. </w:t>
      </w:r>
      <w:r w:rsidR="00237F7F">
        <w:rPr>
          <w:b/>
          <w:bCs/>
          <w:color w:val="000000"/>
          <w:kern w:val="32"/>
          <w:sz w:val="28"/>
          <w:szCs w:val="28"/>
        </w:rPr>
        <w:t>Анжеро-Судженска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237F7F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237F7F">
        <w:rPr>
          <w:b/>
          <w:bCs/>
          <w:color w:val="000000"/>
          <w:kern w:val="32"/>
          <w:sz w:val="28"/>
          <w:szCs w:val="28"/>
        </w:rPr>
        <w:t>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CB7C2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6501F" w:rsidRDefault="00A27657" w:rsidP="007C6DC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6501F">
        <w:rPr>
          <w:bCs/>
          <w:color w:val="000000"/>
          <w:kern w:val="32"/>
          <w:sz w:val="28"/>
          <w:szCs w:val="28"/>
        </w:rPr>
        <w:t>Установить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237F7F" w:rsidRPr="00237F7F">
        <w:rPr>
          <w:bCs/>
          <w:color w:val="000000"/>
          <w:kern w:val="32"/>
          <w:sz w:val="28"/>
          <w:szCs w:val="28"/>
        </w:rPr>
        <w:t>АО «Транснефть-Западная Сибирь»</w:t>
      </w:r>
      <w:r w:rsidR="003051C6" w:rsidRPr="00D6501F">
        <w:rPr>
          <w:bCs/>
          <w:color w:val="000000"/>
          <w:kern w:val="32"/>
          <w:sz w:val="28"/>
          <w:szCs w:val="28"/>
        </w:rPr>
        <w:t xml:space="preserve">, ИНН </w:t>
      </w:r>
      <w:r w:rsidR="00237F7F">
        <w:rPr>
          <w:bCs/>
          <w:color w:val="000000"/>
          <w:kern w:val="32"/>
          <w:sz w:val="28"/>
          <w:szCs w:val="28"/>
        </w:rPr>
        <w:t>5502020634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3051C6">
        <w:rPr>
          <w:bCs/>
          <w:color w:val="000000"/>
          <w:kern w:val="32"/>
          <w:sz w:val="28"/>
          <w:szCs w:val="28"/>
        </w:rPr>
        <w:br/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D6501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6501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рынке</w:t>
      </w:r>
      <w:r w:rsidR="00EF6196">
        <w:rPr>
          <w:bCs/>
          <w:color w:val="000000"/>
          <w:kern w:val="32"/>
          <w:sz w:val="28"/>
          <w:szCs w:val="28"/>
        </w:rPr>
        <w:br/>
      </w:r>
      <w:r w:rsidR="000F7FF5" w:rsidRPr="00D6501F">
        <w:rPr>
          <w:bCs/>
          <w:color w:val="000000"/>
          <w:kern w:val="32"/>
          <w:sz w:val="28"/>
          <w:szCs w:val="28"/>
        </w:rPr>
        <w:t xml:space="preserve">г. </w:t>
      </w:r>
      <w:r w:rsidR="00237F7F" w:rsidRPr="00237F7F">
        <w:rPr>
          <w:bCs/>
          <w:color w:val="000000"/>
          <w:kern w:val="32"/>
          <w:sz w:val="28"/>
          <w:szCs w:val="28"/>
        </w:rPr>
        <w:t>Анжеро-Судженска</w:t>
      </w:r>
      <w:r w:rsidR="002A4DF3" w:rsidRPr="00D6501F">
        <w:rPr>
          <w:bCs/>
          <w:color w:val="000000"/>
          <w:kern w:val="32"/>
          <w:sz w:val="28"/>
          <w:szCs w:val="28"/>
        </w:rPr>
        <w:t>,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D6501F">
        <w:rPr>
          <w:bCs/>
          <w:color w:val="000000"/>
          <w:kern w:val="32"/>
          <w:sz w:val="28"/>
          <w:szCs w:val="28"/>
        </w:rPr>
        <w:t xml:space="preserve">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237F7F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</w:t>
      </w:r>
      <w:r w:rsidR="000F7FF5" w:rsidRPr="00D6501F">
        <w:rPr>
          <w:bCs/>
          <w:color w:val="000000"/>
          <w:kern w:val="32"/>
          <w:sz w:val="28"/>
          <w:szCs w:val="28"/>
        </w:rPr>
        <w:t>0</w:t>
      </w:r>
      <w:r w:rsidR="00237F7F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.201</w:t>
      </w:r>
      <w:r w:rsidR="00237F7F">
        <w:rPr>
          <w:bCs/>
          <w:color w:val="000000"/>
          <w:kern w:val="32"/>
          <w:sz w:val="28"/>
          <w:szCs w:val="28"/>
        </w:rPr>
        <w:t>9</w:t>
      </w:r>
      <w:r w:rsidR="005B1DE8" w:rsidRPr="00D6501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D6501F">
        <w:rPr>
          <w:bCs/>
          <w:color w:val="000000"/>
          <w:kern w:val="32"/>
          <w:sz w:val="28"/>
          <w:szCs w:val="28"/>
        </w:rPr>
        <w:t>2</w:t>
      </w:r>
      <w:r w:rsidR="00237F7F">
        <w:rPr>
          <w:bCs/>
          <w:color w:val="000000"/>
          <w:kern w:val="32"/>
          <w:sz w:val="28"/>
          <w:szCs w:val="28"/>
        </w:rPr>
        <w:t>3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согласно приложени</w:t>
      </w:r>
      <w:r w:rsidR="00C539D2">
        <w:rPr>
          <w:bCs/>
          <w:color w:val="000000"/>
          <w:kern w:val="32"/>
          <w:sz w:val="28"/>
          <w:szCs w:val="28"/>
        </w:rPr>
        <w:t>ю</w:t>
      </w:r>
      <w:r w:rsidR="004620F3" w:rsidRPr="00D6501F">
        <w:rPr>
          <w:bCs/>
          <w:color w:val="000000"/>
          <w:kern w:val="32"/>
          <w:sz w:val="28"/>
          <w:szCs w:val="28"/>
        </w:rPr>
        <w:t xml:space="preserve"> № 1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237F7F" w:rsidRPr="00237F7F">
        <w:rPr>
          <w:bCs/>
          <w:color w:val="000000"/>
          <w:kern w:val="32"/>
          <w:sz w:val="28"/>
          <w:szCs w:val="28"/>
        </w:rPr>
        <w:t>АО «Транснефть-Западная Сибирь», ИНН 5502020634</w:t>
      </w:r>
      <w:r w:rsidR="007E2F45">
        <w:rPr>
          <w:bCs/>
          <w:color w:val="000000"/>
          <w:kern w:val="32"/>
          <w:sz w:val="28"/>
          <w:szCs w:val="28"/>
        </w:rPr>
        <w:t>,</w:t>
      </w:r>
      <w:r w:rsidR="00237F7F">
        <w:rPr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237F7F">
        <w:rPr>
          <w:bCs/>
          <w:color w:val="000000"/>
          <w:kern w:val="32"/>
          <w:sz w:val="28"/>
          <w:szCs w:val="28"/>
        </w:rPr>
        <w:t xml:space="preserve"> </w:t>
      </w:r>
      <w:r w:rsidR="000F7FF5">
        <w:rPr>
          <w:bCs/>
          <w:color w:val="000000"/>
          <w:kern w:val="32"/>
          <w:sz w:val="28"/>
          <w:szCs w:val="28"/>
        </w:rPr>
        <w:t xml:space="preserve">г. </w:t>
      </w:r>
      <w:r w:rsidR="00237F7F" w:rsidRPr="00237F7F">
        <w:rPr>
          <w:bCs/>
          <w:color w:val="000000"/>
          <w:kern w:val="32"/>
          <w:sz w:val="28"/>
          <w:szCs w:val="28"/>
        </w:rPr>
        <w:t>Анжеро-Судженска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237F7F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237F7F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237F7F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237F7F">
        <w:rPr>
          <w:bCs/>
          <w:color w:val="000000"/>
          <w:kern w:val="32"/>
          <w:sz w:val="28"/>
          <w:szCs w:val="28"/>
        </w:rPr>
        <w:t>3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9F0200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237F7F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237F7F" w:rsidRDefault="00237F7F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237F7F" w:rsidRDefault="00237F7F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237F7F" w:rsidRDefault="00237F7F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«___»</w:t>
      </w:r>
      <w:r w:rsidR="002478EE">
        <w:rPr>
          <w:sz w:val="28"/>
          <w:szCs w:val="28"/>
          <w:lang w:eastAsia="ru-RU"/>
        </w:rPr>
        <w:t xml:space="preserve"> </w:t>
      </w:r>
      <w:r w:rsidR="00237F7F">
        <w:rPr>
          <w:sz w:val="28"/>
          <w:szCs w:val="28"/>
          <w:lang w:eastAsia="ru-RU"/>
        </w:rPr>
        <w:t>октября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A655E4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____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6E2E47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37F7F" w:rsidRPr="00237F7F">
        <w:rPr>
          <w:b/>
          <w:bCs/>
          <w:color w:val="000000"/>
          <w:kern w:val="32"/>
          <w:sz w:val="28"/>
          <w:szCs w:val="28"/>
        </w:rPr>
        <w:t>АО «Транснефть-Западная Сибирь»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237F7F" w:rsidRPr="00237F7F">
        <w:rPr>
          <w:b/>
          <w:bCs/>
          <w:color w:val="000000"/>
          <w:kern w:val="32"/>
          <w:sz w:val="28"/>
          <w:szCs w:val="28"/>
        </w:rPr>
        <w:t>Анжеро-Судженска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C1D48" w:rsidRDefault="00DB0327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237F7F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237F7F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237F7F">
        <w:rPr>
          <w:b/>
          <w:bCs/>
          <w:color w:val="000000"/>
          <w:kern w:val="32"/>
          <w:sz w:val="28"/>
          <w:szCs w:val="28"/>
        </w:rPr>
        <w:t>9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237F7F">
        <w:rPr>
          <w:b/>
          <w:bCs/>
          <w:color w:val="000000"/>
          <w:kern w:val="32"/>
          <w:sz w:val="28"/>
          <w:szCs w:val="28"/>
        </w:rPr>
        <w:t>3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417"/>
      </w:tblGrid>
      <w:tr w:rsidR="003E75C7" w:rsidRPr="002D61DB" w:rsidTr="00470DB9">
        <w:trPr>
          <w:trHeight w:val="1959"/>
        </w:trPr>
        <w:tc>
          <w:tcPr>
            <w:tcW w:w="1951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470DB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276" w:type="dxa"/>
            <w:vMerge w:val="restart"/>
            <w:vAlign w:val="center"/>
          </w:tcPr>
          <w:p w:rsidR="003E75C7" w:rsidRDefault="003E75C7" w:rsidP="00470DB9">
            <w:pPr>
              <w:ind w:right="-2"/>
              <w:jc w:val="center"/>
            </w:pPr>
            <w:r>
              <w:t>Уро</w:t>
            </w:r>
            <w:r w:rsidRPr="002D61DB">
              <w:t>вень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70DB9">
        <w:trPr>
          <w:trHeight w:val="165"/>
        </w:trPr>
        <w:tc>
          <w:tcPr>
            <w:tcW w:w="1951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26F44" w:rsidRPr="002D61DB" w:rsidTr="00470DB9">
        <w:trPr>
          <w:trHeight w:val="165"/>
        </w:trPr>
        <w:tc>
          <w:tcPr>
            <w:tcW w:w="19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1</w:t>
            </w:r>
          </w:p>
        </w:tc>
        <w:tc>
          <w:tcPr>
            <w:tcW w:w="709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2</w:t>
            </w:r>
          </w:p>
        </w:tc>
        <w:tc>
          <w:tcPr>
            <w:tcW w:w="1134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3</w:t>
            </w:r>
          </w:p>
        </w:tc>
        <w:tc>
          <w:tcPr>
            <w:tcW w:w="8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4</w:t>
            </w:r>
          </w:p>
        </w:tc>
        <w:tc>
          <w:tcPr>
            <w:tcW w:w="85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5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6</w:t>
            </w:r>
          </w:p>
        </w:tc>
        <w:tc>
          <w:tcPr>
            <w:tcW w:w="1275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7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8</w:t>
            </w:r>
          </w:p>
        </w:tc>
        <w:tc>
          <w:tcPr>
            <w:tcW w:w="1417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9</w:t>
            </w:r>
          </w:p>
        </w:tc>
      </w:tr>
      <w:tr w:rsidR="007E2F45" w:rsidRPr="00384A9C" w:rsidTr="005A1441">
        <w:trPr>
          <w:trHeight w:val="1124"/>
        </w:trPr>
        <w:tc>
          <w:tcPr>
            <w:tcW w:w="1951" w:type="dxa"/>
            <w:vMerge w:val="restart"/>
            <w:vAlign w:val="center"/>
          </w:tcPr>
          <w:p w:rsidR="007E2F45" w:rsidRDefault="007E2F45" w:rsidP="007E2F45">
            <w:pPr>
              <w:ind w:left="-108"/>
              <w:jc w:val="center"/>
              <w:rPr>
                <w:bCs/>
                <w:color w:val="000000"/>
                <w:kern w:val="32"/>
              </w:rPr>
            </w:pPr>
            <w:r w:rsidRPr="00EC731E">
              <w:rPr>
                <w:bCs/>
                <w:color w:val="000000"/>
                <w:kern w:val="32"/>
              </w:rPr>
              <w:t>АО «Транснефть-Западная Сибирь»</w:t>
            </w:r>
          </w:p>
          <w:p w:rsidR="007E2F45" w:rsidRPr="00384A9C" w:rsidRDefault="007E2F45" w:rsidP="007E2F45">
            <w:pPr>
              <w:ind w:left="-108"/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F45" w:rsidRPr="00DF6823" w:rsidRDefault="007E2F45" w:rsidP="007E2F45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2F45" w:rsidRPr="00022C83" w:rsidRDefault="007E2F45" w:rsidP="007E2F45">
            <w:pPr>
              <w:jc w:val="center"/>
              <w:rPr>
                <w:highlight w:val="yellow"/>
              </w:rPr>
            </w:pPr>
            <w:r>
              <w:t>91600,22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E2F45" w:rsidRPr="00022C83" w:rsidRDefault="007E2F45" w:rsidP="007E2F45">
            <w:pPr>
              <w:ind w:right="-2"/>
              <w:jc w:val="center"/>
            </w:pPr>
          </w:p>
          <w:p w:rsidR="007E2F45" w:rsidRPr="00022C83" w:rsidRDefault="007E2F45" w:rsidP="007E2F45">
            <w:pPr>
              <w:ind w:right="-2"/>
              <w:jc w:val="center"/>
            </w:pPr>
            <w:r w:rsidRPr="00022C83">
              <w:t>1,00</w:t>
            </w:r>
          </w:p>
          <w:p w:rsidR="007E2F45" w:rsidRPr="00022C83" w:rsidRDefault="007E2F45" w:rsidP="007E2F45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F45" w:rsidRPr="00022C83" w:rsidRDefault="007E2F45" w:rsidP="007E2F45">
            <w:pPr>
              <w:ind w:right="-2"/>
              <w:jc w:val="center"/>
            </w:pPr>
            <w:r>
              <w:t>5,07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2F45" w:rsidRPr="00DF6823" w:rsidRDefault="007E2F45" w:rsidP="007E2F45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2F45" w:rsidRPr="00384A9C" w:rsidRDefault="007E2F45" w:rsidP="007E2F4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2F45" w:rsidRPr="00DF6823" w:rsidRDefault="007E2F45" w:rsidP="007E2F4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2F45" w:rsidRPr="00384A9C" w:rsidRDefault="007E2F45" w:rsidP="007E2F45">
            <w:pPr>
              <w:jc w:val="center"/>
            </w:pPr>
            <w:r w:rsidRPr="00384A9C">
              <w:t>x</w:t>
            </w:r>
          </w:p>
        </w:tc>
      </w:tr>
      <w:tr w:rsidR="007E2F45" w:rsidRPr="00384A9C" w:rsidTr="005A1441">
        <w:trPr>
          <w:trHeight w:val="1072"/>
        </w:trPr>
        <w:tc>
          <w:tcPr>
            <w:tcW w:w="1951" w:type="dxa"/>
            <w:vMerge/>
            <w:vAlign w:val="center"/>
          </w:tcPr>
          <w:p w:rsidR="007E2F45" w:rsidRPr="00384A9C" w:rsidRDefault="007E2F45" w:rsidP="007E2F4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2F45" w:rsidRPr="00DF6823" w:rsidRDefault="007E2F45" w:rsidP="007E2F45">
            <w:pPr>
              <w:ind w:right="-2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7E2F45" w:rsidRPr="00022C83" w:rsidRDefault="007E2F45" w:rsidP="007E2F45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7E2F45" w:rsidRPr="00022C83" w:rsidRDefault="007E2F45" w:rsidP="007E2F45">
            <w:pPr>
              <w:ind w:right="-2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7E2F45" w:rsidRDefault="007E2F45" w:rsidP="007E2F45">
            <w:pPr>
              <w:ind w:right="-2"/>
              <w:jc w:val="center"/>
            </w:pPr>
            <w:r>
              <w:t>4,47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2F45" w:rsidRPr="00DF6823" w:rsidRDefault="007E2F45" w:rsidP="007E2F45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2F45" w:rsidRPr="00384A9C" w:rsidRDefault="007E2F45" w:rsidP="007E2F4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7E2F45" w:rsidRPr="00DF6823" w:rsidRDefault="007E2F45" w:rsidP="007E2F45">
            <w:pPr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7E2F45" w:rsidRPr="00384A9C" w:rsidRDefault="007E2F45" w:rsidP="007E2F45">
            <w:pPr>
              <w:jc w:val="center"/>
            </w:pPr>
            <w:r>
              <w:t>х</w:t>
            </w:r>
          </w:p>
        </w:tc>
      </w:tr>
      <w:tr w:rsidR="007E2F45" w:rsidRPr="00384A9C" w:rsidTr="005A1441">
        <w:trPr>
          <w:trHeight w:val="1130"/>
        </w:trPr>
        <w:tc>
          <w:tcPr>
            <w:tcW w:w="1951" w:type="dxa"/>
            <w:vMerge/>
            <w:vAlign w:val="center"/>
          </w:tcPr>
          <w:p w:rsidR="007E2F45" w:rsidRPr="00384A9C" w:rsidRDefault="007E2F45" w:rsidP="007E2F4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2F45" w:rsidRPr="00DF6823" w:rsidRDefault="007E2F45" w:rsidP="007E2F45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7E2F45" w:rsidRPr="00022C83" w:rsidRDefault="007E2F45" w:rsidP="007E2F45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7E2F45" w:rsidRPr="00022C83" w:rsidRDefault="007E2F45" w:rsidP="007E2F45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7E2F45" w:rsidRPr="00022C83" w:rsidRDefault="007E2F45" w:rsidP="007E2F45">
            <w:pPr>
              <w:ind w:right="-2"/>
              <w:jc w:val="center"/>
            </w:pPr>
            <w:r>
              <w:t>3,64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2F45" w:rsidRPr="00DF6823" w:rsidRDefault="007E2F45" w:rsidP="007E2F45">
            <w:pPr>
              <w:jc w:val="center"/>
            </w:pPr>
            <w:r w:rsidRPr="00DF6823">
              <w:t>x</w:t>
            </w:r>
            <w:bookmarkStart w:id="0" w:name="_GoBack"/>
            <w:bookmarkEnd w:id="0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2F45" w:rsidRPr="00384A9C" w:rsidRDefault="007E2F45" w:rsidP="007E2F4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7E2F45" w:rsidRPr="00DF6823" w:rsidRDefault="007E2F45" w:rsidP="007E2F4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7E2F45" w:rsidRPr="00384A9C" w:rsidRDefault="007E2F45" w:rsidP="007E2F45">
            <w:pPr>
              <w:jc w:val="center"/>
            </w:pPr>
            <w:r w:rsidRPr="00384A9C">
              <w:t>x</w:t>
            </w:r>
          </w:p>
        </w:tc>
      </w:tr>
      <w:tr w:rsidR="007E2F45" w:rsidRPr="00384A9C" w:rsidTr="005A1441">
        <w:trPr>
          <w:trHeight w:val="1124"/>
        </w:trPr>
        <w:tc>
          <w:tcPr>
            <w:tcW w:w="1951" w:type="dxa"/>
            <w:vMerge/>
          </w:tcPr>
          <w:p w:rsidR="007E2F45" w:rsidRPr="00384A9C" w:rsidRDefault="007E2F45" w:rsidP="007E2F45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2F45" w:rsidRPr="00DF6823" w:rsidRDefault="007E2F45" w:rsidP="007E2F45">
            <w:pPr>
              <w:ind w:right="-2"/>
              <w:jc w:val="center"/>
            </w:pPr>
            <w:r w:rsidRPr="00DF6823">
              <w:t>20</w:t>
            </w:r>
            <w:r>
              <w:t>22</w:t>
            </w:r>
          </w:p>
        </w:tc>
        <w:tc>
          <w:tcPr>
            <w:tcW w:w="1134" w:type="dxa"/>
            <w:vAlign w:val="center"/>
          </w:tcPr>
          <w:p w:rsidR="007E2F45" w:rsidRPr="00022C83" w:rsidRDefault="007E2F45" w:rsidP="007E2F45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7E2F45" w:rsidRPr="00022C83" w:rsidRDefault="007E2F45" w:rsidP="007E2F45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7E2F45" w:rsidRPr="00022C83" w:rsidRDefault="007E2F45" w:rsidP="007E2F45">
            <w:pPr>
              <w:ind w:right="-2"/>
              <w:jc w:val="center"/>
            </w:pPr>
            <w:r>
              <w:t>0,69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2F45" w:rsidRPr="00DF6823" w:rsidRDefault="007E2F45" w:rsidP="007E2F45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2F45" w:rsidRPr="00384A9C" w:rsidRDefault="007E2F45" w:rsidP="007E2F4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7E2F45" w:rsidRPr="00DF6823" w:rsidRDefault="007E2F45" w:rsidP="007E2F4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7E2F45" w:rsidRPr="00384A9C" w:rsidRDefault="007E2F45" w:rsidP="007E2F45">
            <w:pPr>
              <w:jc w:val="center"/>
            </w:pPr>
            <w:r w:rsidRPr="00384A9C">
              <w:t>x</w:t>
            </w:r>
          </w:p>
        </w:tc>
      </w:tr>
      <w:tr w:rsidR="007E2F45" w:rsidRPr="00384A9C" w:rsidTr="005A1441">
        <w:trPr>
          <w:trHeight w:val="1248"/>
        </w:trPr>
        <w:tc>
          <w:tcPr>
            <w:tcW w:w="1951" w:type="dxa"/>
            <w:vMerge/>
            <w:vAlign w:val="center"/>
          </w:tcPr>
          <w:p w:rsidR="007E2F45" w:rsidRPr="00384A9C" w:rsidRDefault="007E2F45" w:rsidP="007E2F45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E2F45" w:rsidRPr="00DF6823" w:rsidRDefault="007E2F45" w:rsidP="007E2F45">
            <w:pPr>
              <w:ind w:right="-2"/>
              <w:jc w:val="center"/>
            </w:pPr>
            <w:r w:rsidRPr="00DF6823">
              <w:t>20</w:t>
            </w:r>
            <w:r>
              <w:t>23</w:t>
            </w:r>
          </w:p>
        </w:tc>
        <w:tc>
          <w:tcPr>
            <w:tcW w:w="1134" w:type="dxa"/>
            <w:vAlign w:val="center"/>
          </w:tcPr>
          <w:p w:rsidR="007E2F45" w:rsidRPr="00022C83" w:rsidRDefault="007E2F45" w:rsidP="007E2F45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7E2F45" w:rsidRPr="00022C83" w:rsidRDefault="007E2F45" w:rsidP="007E2F45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7E2F45" w:rsidRPr="00022C83" w:rsidRDefault="007E2F45" w:rsidP="007E2F45">
            <w:pPr>
              <w:ind w:right="-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2F45" w:rsidRPr="00DF6823" w:rsidRDefault="007E2F45" w:rsidP="007E2F45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2F45" w:rsidRPr="00384A9C" w:rsidRDefault="007E2F45" w:rsidP="007E2F45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7E2F45" w:rsidRPr="00DF6823" w:rsidRDefault="007E2F45" w:rsidP="007E2F45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7E2F45" w:rsidRPr="00384A9C" w:rsidRDefault="007E2F45" w:rsidP="007E2F45">
            <w:pPr>
              <w:jc w:val="center"/>
            </w:pPr>
            <w:r w:rsidRPr="00384A9C">
              <w:t>x</w:t>
            </w:r>
          </w:p>
        </w:tc>
      </w:tr>
    </w:tbl>
    <w:p w:rsidR="00237F7F" w:rsidRDefault="00237F7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237F7F" w:rsidRDefault="00237F7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237F7F" w:rsidRDefault="00237F7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237F7F" w:rsidRDefault="00237F7F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от «___» </w:t>
      </w:r>
      <w:r w:rsidR="00BA3804">
        <w:rPr>
          <w:bCs/>
          <w:color w:val="000000"/>
          <w:kern w:val="32"/>
          <w:sz w:val="28"/>
          <w:szCs w:val="28"/>
        </w:rPr>
        <w:t>октября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№_____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BA3804" w:rsidRPr="00BA3804">
        <w:rPr>
          <w:b/>
          <w:bCs/>
          <w:color w:val="000000"/>
          <w:kern w:val="32"/>
          <w:sz w:val="28"/>
          <w:szCs w:val="28"/>
        </w:rPr>
        <w:t>АО «Транснефть-Западная Сибирь»</w:t>
      </w:r>
      <w:r w:rsidR="00BA3804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BA3804" w:rsidRPr="00BA3804">
        <w:rPr>
          <w:b/>
          <w:bCs/>
          <w:color w:val="000000"/>
          <w:kern w:val="32"/>
          <w:sz w:val="28"/>
          <w:szCs w:val="28"/>
        </w:rPr>
        <w:t>Анжеро-Судженска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BA3804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BA3804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BA3804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BA3804">
        <w:rPr>
          <w:b/>
          <w:bCs/>
          <w:color w:val="000000"/>
          <w:kern w:val="32"/>
          <w:sz w:val="28"/>
          <w:szCs w:val="28"/>
        </w:rPr>
        <w:t>3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932B3F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932B3F" w:rsidRPr="00BA3804" w:rsidRDefault="00932B3F" w:rsidP="00BA3804">
            <w:pPr>
              <w:ind w:left="-80"/>
              <w:jc w:val="center"/>
              <w:rPr>
                <w:bCs/>
                <w:color w:val="000000"/>
                <w:kern w:val="32"/>
              </w:rPr>
            </w:pPr>
            <w:r w:rsidRPr="00BA3804">
              <w:rPr>
                <w:bCs/>
                <w:color w:val="000000"/>
                <w:kern w:val="32"/>
              </w:rPr>
              <w:t>АО «Транснефть-Западная Сибирь»</w:t>
            </w:r>
          </w:p>
          <w:p w:rsidR="00932B3F" w:rsidRPr="004C6F4E" w:rsidRDefault="00932B3F" w:rsidP="00BA3804">
            <w:pPr>
              <w:ind w:left="-80"/>
              <w:jc w:val="center"/>
            </w:pPr>
            <w:r w:rsidRPr="00BA3804">
              <w:rPr>
                <w:bCs/>
                <w:color w:val="000000"/>
                <w:kern w:val="32"/>
              </w:rPr>
              <w:tab/>
            </w:r>
          </w:p>
          <w:p w:rsidR="00932B3F" w:rsidRPr="004C6F4E" w:rsidRDefault="00932B3F" w:rsidP="00BA3804">
            <w:pPr>
              <w:ind w:left="-80"/>
              <w:jc w:val="center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932B3F" w:rsidRPr="00CA39E0" w:rsidRDefault="00932B3F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932B3F" w:rsidRPr="00CA39E0" w:rsidRDefault="00932B3F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932B3F" w:rsidRPr="004C6F4E" w:rsidRDefault="00932B3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14434C" w:rsidP="0014434C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</w:t>
            </w:r>
            <w:r w:rsidR="00932B3F">
              <w:rPr>
                <w:lang w:eastAsia="ru-RU"/>
              </w:rPr>
              <w:t>.0</w:t>
            </w:r>
            <w:r>
              <w:rPr>
                <w:lang w:eastAsia="ru-RU"/>
              </w:rPr>
              <w:t>1</w:t>
            </w:r>
            <w:r w:rsidR="00932B3F">
              <w:rPr>
                <w:lang w:eastAsia="ru-RU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74168A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32B3F" w:rsidRPr="004C6F4E" w:rsidRDefault="00932B3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932B3F" w:rsidRPr="004C6F4E" w:rsidRDefault="00932B3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jc w:val="center"/>
            </w:pPr>
            <w:r w:rsidRPr="004C6F4E">
              <w:t>x</w:t>
            </w:r>
          </w:p>
        </w:tc>
      </w:tr>
      <w:tr w:rsidR="00932B3F" w:rsidRPr="004C6F4E" w:rsidTr="0074168A"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932B3F" w:rsidRPr="00626711" w:rsidRDefault="00932B3F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932B3F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932B3F" w:rsidRPr="004C6F4E" w:rsidRDefault="00932B3F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14434C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14434C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14434C">
              <w:rPr>
                <w:lang w:eastAsia="ru-RU"/>
              </w:rPr>
              <w:t>1</w:t>
            </w:r>
            <w:r>
              <w:rPr>
                <w:lang w:eastAsia="ru-RU"/>
              </w:rPr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BA3804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932B3F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932B3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932B3F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932B3F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932B3F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932B3F" w:rsidRPr="004C6F4E" w:rsidRDefault="00932B3F" w:rsidP="00932B3F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32B3F" w:rsidRPr="004C6F4E" w:rsidRDefault="00932B3F" w:rsidP="00932B3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932B3F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932B3F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932B3F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 w:rsidRPr="004C6F4E">
              <w:t>x</w:t>
            </w:r>
          </w:p>
        </w:tc>
      </w:tr>
      <w:tr w:rsidR="00932B3F" w:rsidRPr="004C6F4E" w:rsidTr="007C6DCF">
        <w:trPr>
          <w:trHeight w:val="260"/>
        </w:trPr>
        <w:tc>
          <w:tcPr>
            <w:tcW w:w="1730" w:type="dxa"/>
            <w:vMerge/>
            <w:shd w:val="clear" w:color="auto" w:fill="auto"/>
          </w:tcPr>
          <w:p w:rsidR="00932B3F" w:rsidRDefault="00932B3F" w:rsidP="00932B3F">
            <w:pPr>
              <w:ind w:left="-8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32B3F" w:rsidRPr="004C6F4E" w:rsidRDefault="00932B3F" w:rsidP="00932B3F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932B3F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932B3F" w:rsidRPr="004C6F4E" w:rsidTr="007C6DCF">
        <w:trPr>
          <w:trHeight w:val="260"/>
        </w:trPr>
        <w:tc>
          <w:tcPr>
            <w:tcW w:w="1730" w:type="dxa"/>
            <w:vMerge/>
            <w:shd w:val="clear" w:color="auto" w:fill="auto"/>
          </w:tcPr>
          <w:p w:rsidR="00932B3F" w:rsidRDefault="00932B3F" w:rsidP="00932B3F">
            <w:pPr>
              <w:ind w:left="-8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32B3F" w:rsidRPr="00BD4567" w:rsidRDefault="00932B3F" w:rsidP="00932B3F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932B3F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</w:tr>
      <w:tr w:rsidR="00932B3F" w:rsidRPr="004C6F4E" w:rsidTr="007C6DCF">
        <w:trPr>
          <w:trHeight w:val="260"/>
        </w:trPr>
        <w:tc>
          <w:tcPr>
            <w:tcW w:w="1730" w:type="dxa"/>
            <w:shd w:val="clear" w:color="auto" w:fill="auto"/>
          </w:tcPr>
          <w:p w:rsidR="00932B3F" w:rsidRPr="004C6F4E" w:rsidRDefault="00932B3F" w:rsidP="00932B3F">
            <w:pPr>
              <w:ind w:left="-80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932B3F" w:rsidRPr="004C6F4E" w:rsidRDefault="00932B3F" w:rsidP="00932B3F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35383D" w:rsidRDefault="00932B3F" w:rsidP="00932B3F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Default="00932B3F" w:rsidP="00932B3F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626711" w:rsidRDefault="00932B3F" w:rsidP="00932B3F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Pr="00626711" w:rsidRDefault="00932B3F" w:rsidP="00932B3F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ind w:left="-105"/>
              <w:jc w:val="center"/>
            </w:pPr>
            <w:r>
              <w:t>9</w:t>
            </w:r>
          </w:p>
        </w:tc>
      </w:tr>
      <w:tr w:rsidR="00932B3F" w:rsidRPr="004C6F4E" w:rsidTr="0013733F">
        <w:trPr>
          <w:trHeight w:val="1136"/>
        </w:trPr>
        <w:tc>
          <w:tcPr>
            <w:tcW w:w="1730" w:type="dxa"/>
            <w:shd w:val="clear" w:color="auto" w:fill="auto"/>
            <w:vAlign w:val="center"/>
          </w:tcPr>
          <w:p w:rsidR="00932B3F" w:rsidRPr="00BA3804" w:rsidRDefault="00932B3F" w:rsidP="00932B3F">
            <w:pPr>
              <w:ind w:left="-80"/>
              <w:jc w:val="center"/>
              <w:rPr>
                <w:bCs/>
                <w:color w:val="000000"/>
                <w:kern w:val="32"/>
              </w:rPr>
            </w:pPr>
            <w:r w:rsidRPr="00BA3804">
              <w:rPr>
                <w:bCs/>
                <w:color w:val="000000"/>
                <w:kern w:val="32"/>
              </w:rPr>
              <w:t>АО «Транснефть-Западная Сибирь»</w:t>
            </w:r>
          </w:p>
          <w:p w:rsidR="00932B3F" w:rsidRPr="004C6F4E" w:rsidRDefault="00932B3F" w:rsidP="00932B3F">
            <w:pPr>
              <w:ind w:left="-80"/>
              <w:jc w:val="center"/>
            </w:pPr>
            <w:r w:rsidRPr="00BA3804">
              <w:rPr>
                <w:bCs/>
                <w:color w:val="000000"/>
                <w:kern w:val="32"/>
              </w:rPr>
              <w:tab/>
            </w:r>
          </w:p>
          <w:p w:rsidR="00932B3F" w:rsidRPr="004C6F4E" w:rsidRDefault="00932B3F" w:rsidP="00932B3F">
            <w:pPr>
              <w:ind w:left="-8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2B3F" w:rsidRPr="00BD4567" w:rsidRDefault="00932B3F" w:rsidP="00932B3F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932B3F" w:rsidRPr="00BD4567" w:rsidRDefault="00932B3F" w:rsidP="00932B3F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932B3F" w:rsidRPr="004C6F4E" w:rsidRDefault="00932B3F" w:rsidP="00932B3F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3F" w:rsidRDefault="00932B3F" w:rsidP="00932B3F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B3F" w:rsidRPr="004C6F4E" w:rsidRDefault="00932B3F" w:rsidP="00932B3F">
            <w:pPr>
              <w:jc w:val="center"/>
            </w:pPr>
            <w:r w:rsidRPr="004C6F4E">
              <w:t>x</w:t>
            </w:r>
          </w:p>
        </w:tc>
      </w:tr>
    </w:tbl>
    <w:p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:rsidR="00591301" w:rsidRPr="0074168A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44" w:rsidRDefault="00AC4A44">
      <w:r>
        <w:separator/>
      </w:r>
    </w:p>
  </w:endnote>
  <w:endnote w:type="continuationSeparator" w:id="0">
    <w:p w:rsidR="00AC4A44" w:rsidRDefault="00A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F7F" w:rsidRDefault="00237F7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F7F" w:rsidRDefault="00237F7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F7F" w:rsidRDefault="00237F7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44" w:rsidRDefault="00AC4A44">
      <w:r>
        <w:separator/>
      </w:r>
    </w:p>
  </w:footnote>
  <w:footnote w:type="continuationSeparator" w:id="0">
    <w:p w:rsidR="00AC4A44" w:rsidRDefault="00AC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F7F" w:rsidRDefault="00237F7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37F7F" w:rsidRDefault="00237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237F7F" w:rsidRDefault="00237F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4C" w:rsidRPr="0014434C">
          <w:rPr>
            <w:noProof/>
            <w:lang w:val="ru-RU"/>
          </w:rPr>
          <w:t>2</w:t>
        </w:r>
        <w:r>
          <w:fldChar w:fldCharType="end"/>
        </w:r>
      </w:p>
    </w:sdtContent>
  </w:sdt>
  <w:p w:rsidR="00237F7F" w:rsidRDefault="00237F7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237F7F" w:rsidRDefault="00237F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4C" w:rsidRPr="0014434C">
          <w:rPr>
            <w:noProof/>
            <w:lang w:val="ru-RU"/>
          </w:rPr>
          <w:t>1</w:t>
        </w:r>
        <w:r>
          <w:fldChar w:fldCharType="end"/>
        </w:r>
      </w:p>
    </w:sdtContent>
  </w:sdt>
  <w:p w:rsidR="00237F7F" w:rsidRPr="00765B27" w:rsidRDefault="00237F7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4434C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37F7F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24D4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2F45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2B3F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4A44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3804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C731E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CE41A5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0711-7B01-436E-A4EF-D6E307AD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732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29</cp:revision>
  <cp:lastPrinted>2016-12-27T11:29:00Z</cp:lastPrinted>
  <dcterms:created xsi:type="dcterms:W3CDTF">2018-01-16T07:42:00Z</dcterms:created>
  <dcterms:modified xsi:type="dcterms:W3CDTF">2018-09-19T04:38:00Z</dcterms:modified>
</cp:coreProperties>
</file>