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73E85" w14:textId="3E47077E" w:rsidR="00EA1755" w:rsidRDefault="009F7530" w:rsidP="009F753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F7530">
        <w:rPr>
          <w:rFonts w:ascii="Times New Roman" w:hAnsi="Times New Roman" w:cs="Times New Roman"/>
        </w:rPr>
        <w:t>«</w:t>
      </w:r>
      <w:r w:rsidRPr="009F7530">
        <w:rPr>
          <w:rFonts w:ascii="Times New Roman" w:hAnsi="Times New Roman" w:cs="Times New Roman"/>
          <w:sz w:val="28"/>
          <w:szCs w:val="28"/>
        </w:rPr>
        <w:t>Решением Кемеровского областного суда от 27 августа 2019 года постановлено:</w:t>
      </w:r>
    </w:p>
    <w:p w14:paraId="62595B8F" w14:textId="77777777" w:rsidR="009F7530" w:rsidRDefault="009F7530" w:rsidP="007B30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не действующим со дня принятия постановление региональной энергетической комиссии Кемеровской области от 7 июня 2019 г. № 153 «Об утверждении производственной программы в области обращения с твердыми коммунальными отходами и об утверждении единых тарифов на услугу регионального оператора по обращению с твердыми коммунальными отходами ООО «Чистый город Кемерово».</w:t>
      </w:r>
    </w:p>
    <w:p w14:paraId="45F74078" w14:textId="65096FE6" w:rsidR="009F7530" w:rsidRPr="009F7530" w:rsidRDefault="009F7530" w:rsidP="007B30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вступило в законную силу 03 октября 2019 года». </w:t>
      </w:r>
    </w:p>
    <w:p w14:paraId="029276B0" w14:textId="77777777" w:rsidR="009F7530" w:rsidRPr="009F7530" w:rsidRDefault="009F753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F7530" w:rsidRPr="009F7530" w:rsidSect="007B30D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59"/>
    <w:rsid w:val="000D3143"/>
    <w:rsid w:val="00562059"/>
    <w:rsid w:val="007B30DB"/>
    <w:rsid w:val="009F7530"/>
    <w:rsid w:val="00EA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0A6F"/>
  <w15:chartTrackingRefBased/>
  <w15:docId w15:val="{CD8B7387-4EF4-434D-A348-196AA06A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3</cp:revision>
  <dcterms:created xsi:type="dcterms:W3CDTF">2019-11-08T07:50:00Z</dcterms:created>
  <dcterms:modified xsi:type="dcterms:W3CDTF">2019-11-08T07:56:00Z</dcterms:modified>
</cp:coreProperties>
</file>