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303" w:type="pct"/>
        <w:tblInd w:w="-176" w:type="dxa"/>
        <w:tblLook w:val="04A0" w:firstRow="1" w:lastRow="0" w:firstColumn="1" w:lastColumn="0" w:noHBand="0" w:noVBand="1"/>
      </w:tblPr>
      <w:tblGrid>
        <w:gridCol w:w="510"/>
        <w:gridCol w:w="1440"/>
        <w:gridCol w:w="1288"/>
        <w:gridCol w:w="590"/>
        <w:gridCol w:w="3324"/>
        <w:gridCol w:w="1186"/>
        <w:gridCol w:w="38"/>
        <w:gridCol w:w="1151"/>
        <w:gridCol w:w="474"/>
      </w:tblGrid>
      <w:tr w:rsidR="005D1B1C" w:rsidRPr="00FC7CD2" w:rsidTr="00256BD4">
        <w:trPr>
          <w:trHeight w:val="1553"/>
        </w:trPr>
        <w:tc>
          <w:tcPr>
            <w:tcW w:w="255" w:type="pct"/>
            <w:tcBorders>
              <w:top w:val="nil"/>
              <w:left w:val="nil"/>
              <w:bottom w:val="nil"/>
              <w:right w:val="nil"/>
            </w:tcBorders>
            <w:shd w:val="clear" w:color="auto" w:fill="auto"/>
            <w:noWrap/>
            <w:vAlign w:val="center"/>
            <w:hideMark/>
          </w:tcPr>
          <w:p w:rsidR="00A93FFA" w:rsidRPr="00FC7CD2" w:rsidRDefault="00A93FFA" w:rsidP="00E909FA">
            <w:pPr>
              <w:spacing w:after="0" w:line="240" w:lineRule="auto"/>
              <w:jc w:val="center"/>
              <w:rPr>
                <w:rFonts w:ascii="Times New Roman" w:eastAsia="Times New Roman" w:hAnsi="Times New Roman"/>
                <w:sz w:val="28"/>
                <w:szCs w:val="28"/>
                <w:lang w:eastAsia="ru-RU"/>
              </w:rPr>
            </w:pPr>
            <w:bookmarkStart w:id="0" w:name="_GoBack"/>
            <w:bookmarkEnd w:id="0"/>
            <w:r>
              <w:rPr>
                <w:rFonts w:ascii="Times New Roman" w:eastAsia="Times New Roman" w:hAnsi="Times New Roman"/>
                <w:sz w:val="28"/>
                <w:szCs w:val="20"/>
                <w:lang w:eastAsia="ru-RU"/>
              </w:rPr>
              <w:br w:type="page"/>
            </w:r>
            <w:r>
              <w:rPr>
                <w:rFonts w:ascii="Times New Roman" w:eastAsia="Times New Roman" w:hAnsi="Times New Roman"/>
                <w:sz w:val="28"/>
                <w:szCs w:val="20"/>
                <w:lang w:eastAsia="ru-RU"/>
              </w:rPr>
              <w:br w:type="page"/>
            </w:r>
            <w:bookmarkStart w:id="1" w:name="RANGE!A1:E219"/>
            <w:bookmarkEnd w:id="1"/>
          </w:p>
        </w:tc>
        <w:tc>
          <w:tcPr>
            <w:tcW w:w="720" w:type="pct"/>
            <w:tcBorders>
              <w:top w:val="nil"/>
              <w:left w:val="nil"/>
              <w:bottom w:val="nil"/>
              <w:right w:val="nil"/>
            </w:tcBorders>
            <w:shd w:val="clear" w:color="auto" w:fill="auto"/>
            <w:noWrap/>
            <w:vAlign w:val="bottom"/>
            <w:hideMark/>
          </w:tcPr>
          <w:p w:rsidR="00A93FFA" w:rsidRPr="00FC7CD2" w:rsidRDefault="00A93FFA" w:rsidP="00E909FA">
            <w:pPr>
              <w:spacing w:after="0" w:line="240" w:lineRule="auto"/>
              <w:rPr>
                <w:rFonts w:ascii="Times New Roman" w:eastAsia="Times New Roman" w:hAnsi="Times New Roman"/>
                <w:sz w:val="28"/>
                <w:szCs w:val="28"/>
                <w:lang w:eastAsia="ru-RU"/>
              </w:rPr>
            </w:pPr>
          </w:p>
        </w:tc>
        <w:tc>
          <w:tcPr>
            <w:tcW w:w="644" w:type="pct"/>
            <w:tcBorders>
              <w:top w:val="nil"/>
              <w:left w:val="nil"/>
              <w:bottom w:val="nil"/>
              <w:right w:val="nil"/>
            </w:tcBorders>
            <w:shd w:val="clear" w:color="auto" w:fill="auto"/>
            <w:noWrap/>
            <w:vAlign w:val="bottom"/>
            <w:hideMark/>
          </w:tcPr>
          <w:p w:rsidR="00A93FFA" w:rsidRPr="00FC7CD2" w:rsidRDefault="00A93FFA" w:rsidP="00E909FA">
            <w:pPr>
              <w:spacing w:after="0" w:line="240" w:lineRule="auto"/>
              <w:rPr>
                <w:rFonts w:ascii="Times New Roman" w:eastAsia="Times New Roman" w:hAnsi="Times New Roman"/>
                <w:sz w:val="28"/>
                <w:szCs w:val="28"/>
                <w:lang w:eastAsia="ru-RU"/>
              </w:rPr>
            </w:pPr>
          </w:p>
        </w:tc>
        <w:tc>
          <w:tcPr>
            <w:tcW w:w="295" w:type="pct"/>
            <w:tcBorders>
              <w:top w:val="nil"/>
              <w:left w:val="nil"/>
              <w:bottom w:val="nil"/>
              <w:right w:val="nil"/>
            </w:tcBorders>
            <w:shd w:val="clear" w:color="auto" w:fill="auto"/>
            <w:noWrap/>
            <w:vAlign w:val="bottom"/>
            <w:hideMark/>
          </w:tcPr>
          <w:p w:rsidR="00A93FFA" w:rsidRPr="00FC7CD2" w:rsidRDefault="00A93FFA" w:rsidP="00E909FA">
            <w:pPr>
              <w:spacing w:after="0" w:line="240" w:lineRule="auto"/>
              <w:rPr>
                <w:rFonts w:ascii="Times New Roman" w:eastAsia="Times New Roman" w:hAnsi="Times New Roman"/>
                <w:sz w:val="28"/>
                <w:szCs w:val="28"/>
                <w:lang w:eastAsia="ru-RU"/>
              </w:rPr>
            </w:pPr>
          </w:p>
        </w:tc>
        <w:tc>
          <w:tcPr>
            <w:tcW w:w="3086" w:type="pct"/>
            <w:gridSpan w:val="5"/>
            <w:tcBorders>
              <w:top w:val="nil"/>
              <w:left w:val="nil"/>
              <w:bottom w:val="nil"/>
              <w:right w:val="nil"/>
            </w:tcBorders>
            <w:shd w:val="clear" w:color="auto" w:fill="auto"/>
            <w:vAlign w:val="center"/>
            <w:hideMark/>
          </w:tcPr>
          <w:p w:rsidR="00A93FFA" w:rsidRDefault="00A93FFA" w:rsidP="00E909FA">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Pr="00FC7CD2">
              <w:rPr>
                <w:rFonts w:ascii="Times New Roman" w:eastAsia="Times New Roman" w:hAnsi="Times New Roman"/>
                <w:sz w:val="28"/>
                <w:szCs w:val="28"/>
                <w:lang w:eastAsia="ru-RU"/>
              </w:rPr>
              <w:t>1</w:t>
            </w:r>
          </w:p>
          <w:p w:rsidR="00C7407D" w:rsidRDefault="00A93FFA" w:rsidP="00E909FA">
            <w:pPr>
              <w:pStyle w:val="FR1"/>
              <w:ind w:left="0"/>
              <w:rPr>
                <w:szCs w:val="28"/>
              </w:rPr>
            </w:pPr>
            <w:r w:rsidRPr="00FC7CD2">
              <w:rPr>
                <w:szCs w:val="28"/>
              </w:rPr>
              <w:t>к постановлению</w:t>
            </w:r>
            <w:r>
              <w:rPr>
                <w:szCs w:val="28"/>
              </w:rPr>
              <w:t xml:space="preserve"> </w:t>
            </w:r>
            <w:r w:rsidRPr="00FC7CD2">
              <w:rPr>
                <w:szCs w:val="28"/>
              </w:rPr>
              <w:t xml:space="preserve">региональной </w:t>
            </w:r>
          </w:p>
          <w:p w:rsidR="00C7407D" w:rsidRDefault="00A93FFA" w:rsidP="00E909FA">
            <w:pPr>
              <w:pStyle w:val="FR1"/>
              <w:ind w:left="0"/>
              <w:rPr>
                <w:szCs w:val="28"/>
              </w:rPr>
            </w:pPr>
            <w:r w:rsidRPr="00FC7CD2">
              <w:rPr>
                <w:szCs w:val="28"/>
              </w:rPr>
              <w:t>энергетической комиссии</w:t>
            </w:r>
            <w:r>
              <w:rPr>
                <w:szCs w:val="28"/>
              </w:rPr>
              <w:t xml:space="preserve"> </w:t>
            </w:r>
          </w:p>
          <w:p w:rsidR="00A93FFA" w:rsidRDefault="00A93FFA" w:rsidP="00E909FA">
            <w:pPr>
              <w:pStyle w:val="FR1"/>
              <w:ind w:left="0"/>
              <w:rPr>
                <w:szCs w:val="28"/>
              </w:rPr>
            </w:pPr>
            <w:r w:rsidRPr="00FC7CD2">
              <w:rPr>
                <w:szCs w:val="28"/>
              </w:rPr>
              <w:t>Кемеровской области</w:t>
            </w:r>
          </w:p>
          <w:p w:rsidR="00A93FFA" w:rsidRDefault="00A93FFA" w:rsidP="00E909FA">
            <w:pPr>
              <w:pStyle w:val="FR1"/>
              <w:ind w:left="0"/>
              <w:rPr>
                <w:szCs w:val="28"/>
              </w:rPr>
            </w:pPr>
            <w:r>
              <w:rPr>
                <w:szCs w:val="28"/>
              </w:rPr>
              <w:t xml:space="preserve">от </w:t>
            </w:r>
            <w:r w:rsidRPr="00FC7CD2">
              <w:rPr>
                <w:szCs w:val="28"/>
              </w:rPr>
              <w:t>«</w:t>
            </w:r>
            <w:r w:rsidR="00161F46">
              <w:rPr>
                <w:szCs w:val="28"/>
              </w:rPr>
              <w:t>31</w:t>
            </w:r>
            <w:r w:rsidRPr="00FC7CD2">
              <w:rPr>
                <w:szCs w:val="28"/>
              </w:rPr>
              <w:t xml:space="preserve">» </w:t>
            </w:r>
            <w:r>
              <w:rPr>
                <w:szCs w:val="28"/>
              </w:rPr>
              <w:t>декабря</w:t>
            </w:r>
            <w:r w:rsidRPr="00FC7CD2">
              <w:rPr>
                <w:szCs w:val="28"/>
              </w:rPr>
              <w:t xml:space="preserve"> 2015 года №</w:t>
            </w:r>
            <w:r w:rsidR="00161F46">
              <w:rPr>
                <w:szCs w:val="28"/>
              </w:rPr>
              <w:t xml:space="preserve"> 1031</w:t>
            </w:r>
          </w:p>
          <w:p w:rsidR="00C7407D" w:rsidRPr="00FC7CD2" w:rsidRDefault="00C7407D" w:rsidP="00E909FA">
            <w:pPr>
              <w:pStyle w:val="FR1"/>
              <w:ind w:left="0"/>
              <w:rPr>
                <w:szCs w:val="28"/>
              </w:rPr>
            </w:pPr>
          </w:p>
        </w:tc>
      </w:tr>
      <w:tr w:rsidR="00A93FFA" w:rsidRPr="009D5C94" w:rsidTr="00256BD4">
        <w:trPr>
          <w:gridAfter w:val="1"/>
          <w:wAfter w:w="237" w:type="pct"/>
          <w:trHeight w:val="390"/>
        </w:trPr>
        <w:tc>
          <w:tcPr>
            <w:tcW w:w="4763" w:type="pct"/>
            <w:gridSpan w:val="8"/>
            <w:vMerge w:val="restart"/>
            <w:tcBorders>
              <w:top w:val="nil"/>
              <w:left w:val="nil"/>
              <w:bottom w:val="nil"/>
              <w:right w:val="nil"/>
            </w:tcBorders>
            <w:shd w:val="clear" w:color="auto" w:fill="auto"/>
            <w:vAlign w:val="center"/>
            <w:hideMark/>
          </w:tcPr>
          <w:p w:rsidR="000F6F1E" w:rsidRDefault="00A93FFA" w:rsidP="0036478A">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Стандартизированные тарифные ставки для расчета платы за технологическое прис</w:t>
            </w:r>
            <w:r w:rsidR="000F6F1E">
              <w:rPr>
                <w:rFonts w:ascii="Times New Roman" w:eastAsia="Times New Roman" w:hAnsi="Times New Roman"/>
                <w:b/>
                <w:bCs/>
                <w:sz w:val="28"/>
                <w:szCs w:val="28"/>
                <w:lang w:eastAsia="ru-RU"/>
              </w:rPr>
              <w:t>оединение к электрическим сетям</w:t>
            </w:r>
          </w:p>
          <w:p w:rsidR="00256BD4" w:rsidRDefault="00A93FFA" w:rsidP="00256BD4">
            <w:pPr>
              <w:spacing w:after="0" w:line="240" w:lineRule="auto"/>
              <w:jc w:val="center"/>
              <w:rPr>
                <w:rFonts w:ascii="Times New Roman" w:eastAsia="Times New Roman" w:hAnsi="Times New Roman"/>
                <w:b/>
                <w:bCs/>
                <w:sz w:val="28"/>
                <w:szCs w:val="28"/>
                <w:lang w:eastAsia="ru-RU"/>
              </w:rPr>
            </w:pPr>
            <w:r w:rsidRPr="003E22BD">
              <w:rPr>
                <w:rFonts w:ascii="Times New Roman" w:eastAsia="Times New Roman" w:hAnsi="Times New Roman"/>
                <w:b/>
                <w:bCs/>
                <w:sz w:val="28"/>
                <w:szCs w:val="28"/>
                <w:lang w:eastAsia="ru-RU"/>
              </w:rPr>
              <w:t>ООО «</w:t>
            </w:r>
            <w:r w:rsidR="000E74CA">
              <w:rPr>
                <w:rFonts w:ascii="Times New Roman" w:hAnsi="Times New Roman"/>
                <w:b/>
                <w:sz w:val="28"/>
                <w:szCs w:val="28"/>
              </w:rPr>
              <w:t>Электросетьсервис</w:t>
            </w:r>
            <w:r w:rsidR="00031F6C">
              <w:rPr>
                <w:rFonts w:ascii="Times New Roman" w:eastAsia="Times New Roman" w:hAnsi="Times New Roman"/>
                <w:b/>
                <w:bCs/>
                <w:sz w:val="28"/>
                <w:szCs w:val="28"/>
                <w:lang w:eastAsia="ru-RU"/>
              </w:rPr>
              <w:t>»</w:t>
            </w:r>
            <w:r w:rsidR="002D4C40">
              <w:rPr>
                <w:rFonts w:ascii="Times New Roman" w:eastAsia="Times New Roman" w:hAnsi="Times New Roman"/>
                <w:b/>
                <w:bCs/>
                <w:sz w:val="28"/>
                <w:szCs w:val="28"/>
                <w:lang w:eastAsia="ru-RU"/>
              </w:rPr>
              <w:t xml:space="preserve"> </w:t>
            </w:r>
            <w:r w:rsidR="00256BD4">
              <w:rPr>
                <w:rFonts w:ascii="Times New Roman" w:hAnsi="Times New Roman"/>
                <w:b/>
                <w:sz w:val="28"/>
                <w:szCs w:val="28"/>
              </w:rPr>
              <w:t>по Кемеровской области</w:t>
            </w:r>
            <w:r w:rsidR="00256BD4" w:rsidRPr="00900EAC">
              <w:rPr>
                <w:rFonts w:ascii="Times New Roman" w:eastAsia="Times New Roman" w:hAnsi="Times New Roman"/>
                <w:b/>
                <w:bCs/>
                <w:sz w:val="28"/>
                <w:szCs w:val="28"/>
                <w:lang w:eastAsia="ru-RU"/>
              </w:rPr>
              <w:t xml:space="preserve"> на </w:t>
            </w:r>
            <w:r w:rsidR="00256BD4">
              <w:rPr>
                <w:rFonts w:ascii="Times New Roman" w:eastAsia="Times New Roman" w:hAnsi="Times New Roman"/>
                <w:b/>
                <w:bCs/>
                <w:sz w:val="28"/>
                <w:szCs w:val="28"/>
                <w:lang w:eastAsia="ru-RU"/>
              </w:rPr>
              <w:t>период</w:t>
            </w:r>
          </w:p>
          <w:p w:rsidR="002D4C40" w:rsidRPr="0036478A" w:rsidRDefault="00256BD4" w:rsidP="00256BD4">
            <w:pPr>
              <w:spacing w:after="0" w:line="240" w:lineRule="auto"/>
              <w:jc w:val="center"/>
              <w:rPr>
                <w:rFonts w:ascii="Times New Roman" w:eastAsia="Times New Roman" w:hAnsi="Times New Roman"/>
                <w:bCs/>
                <w:sz w:val="28"/>
                <w:szCs w:val="28"/>
                <w:lang w:eastAsia="ru-RU"/>
              </w:rPr>
            </w:pPr>
            <w:r w:rsidRPr="00F436B1">
              <w:rPr>
                <w:rFonts w:ascii="Times New Roman" w:hAnsi="Times New Roman"/>
                <w:b/>
                <w:sz w:val="28"/>
                <w:szCs w:val="28"/>
              </w:rPr>
              <w:t>с 01.01.2016 по 31.12.2016</w:t>
            </w:r>
          </w:p>
        </w:tc>
      </w:tr>
      <w:tr w:rsidR="00A93FFA" w:rsidRPr="00FC7CD2" w:rsidTr="00256BD4">
        <w:trPr>
          <w:gridAfter w:val="1"/>
          <w:wAfter w:w="237" w:type="pct"/>
          <w:trHeight w:val="390"/>
        </w:trPr>
        <w:tc>
          <w:tcPr>
            <w:tcW w:w="4763" w:type="pct"/>
            <w:gridSpan w:val="8"/>
            <w:vMerge/>
            <w:tcBorders>
              <w:top w:val="nil"/>
              <w:left w:val="nil"/>
              <w:bottom w:val="nil"/>
              <w:right w:val="nil"/>
            </w:tcBorders>
            <w:vAlign w:val="center"/>
            <w:hideMark/>
          </w:tcPr>
          <w:p w:rsidR="00A93FFA" w:rsidRPr="00FC7CD2" w:rsidRDefault="00A93FFA" w:rsidP="00E909FA">
            <w:pPr>
              <w:spacing w:after="0" w:line="240" w:lineRule="auto"/>
              <w:rPr>
                <w:rFonts w:ascii="Times New Roman" w:eastAsia="Times New Roman" w:hAnsi="Times New Roman"/>
                <w:bCs/>
                <w:sz w:val="28"/>
                <w:szCs w:val="28"/>
                <w:lang w:eastAsia="ru-RU"/>
              </w:rPr>
            </w:pPr>
          </w:p>
        </w:tc>
      </w:tr>
      <w:tr w:rsidR="00A93FFA" w:rsidRPr="005D1B1C" w:rsidTr="00256BD4">
        <w:trPr>
          <w:gridAfter w:val="1"/>
          <w:wAfter w:w="237" w:type="pct"/>
          <w:trHeight w:val="300"/>
        </w:trPr>
        <w:tc>
          <w:tcPr>
            <w:tcW w:w="4763" w:type="pct"/>
            <w:gridSpan w:val="8"/>
            <w:tcBorders>
              <w:top w:val="nil"/>
              <w:left w:val="nil"/>
              <w:bottom w:val="single" w:sz="4" w:space="0" w:color="auto"/>
              <w:right w:val="nil"/>
            </w:tcBorders>
            <w:vAlign w:val="center"/>
          </w:tcPr>
          <w:p w:rsidR="00A93FFA" w:rsidRPr="005D1B1C" w:rsidRDefault="00A93FFA" w:rsidP="00E909FA">
            <w:pPr>
              <w:spacing w:after="0" w:line="240" w:lineRule="auto"/>
              <w:jc w:val="right"/>
              <w:rPr>
                <w:rFonts w:ascii="Times New Roman" w:eastAsia="Times New Roman" w:hAnsi="Times New Roman"/>
                <w:bCs/>
                <w:sz w:val="20"/>
                <w:szCs w:val="20"/>
                <w:lang w:eastAsia="ru-RU"/>
              </w:rPr>
            </w:pPr>
            <w:r w:rsidRPr="005D1B1C">
              <w:rPr>
                <w:rFonts w:ascii="Times New Roman" w:eastAsia="Times New Roman" w:hAnsi="Times New Roman"/>
                <w:bCs/>
                <w:sz w:val="20"/>
                <w:szCs w:val="20"/>
                <w:lang w:eastAsia="ru-RU"/>
              </w:rPr>
              <w:t>(без учета НДС)</w:t>
            </w:r>
          </w:p>
        </w:tc>
      </w:tr>
      <w:tr w:rsidR="005D1B1C" w:rsidRPr="004024E9" w:rsidTr="00256BD4">
        <w:trPr>
          <w:gridAfter w:val="1"/>
          <w:wAfter w:w="237" w:type="pct"/>
          <w:trHeight w:val="493"/>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321" w:type="pct"/>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Наименование ставки</w:t>
            </w:r>
          </w:p>
        </w:tc>
        <w:tc>
          <w:tcPr>
            <w:tcW w:w="1187"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Ставка</w:t>
            </w:r>
          </w:p>
        </w:tc>
      </w:tr>
      <w:tr w:rsidR="005D1B1C" w:rsidRPr="004024E9" w:rsidTr="00256BD4">
        <w:trPr>
          <w:gridAfter w:val="1"/>
          <w:wAfter w:w="237" w:type="pct"/>
          <w:trHeight w:val="696"/>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ind w:left="-108"/>
              <w:jc w:val="center"/>
              <w:rPr>
                <w:rFonts w:ascii="Times New Roman" w:eastAsia="Times New Roman" w:hAnsi="Times New Roman"/>
                <w:color w:val="000000"/>
                <w:sz w:val="20"/>
                <w:szCs w:val="20"/>
                <w:lang w:eastAsia="ru-RU"/>
              </w:rPr>
            </w:pPr>
          </w:p>
        </w:tc>
        <w:tc>
          <w:tcPr>
            <w:tcW w:w="3321" w:type="pct"/>
            <w:gridSpan w:val="4"/>
            <w:vMerge/>
            <w:tcBorders>
              <w:top w:val="single" w:sz="4" w:space="0" w:color="auto"/>
              <w:left w:val="single" w:sz="4" w:space="0" w:color="auto"/>
              <w:bottom w:val="single" w:sz="4" w:space="0" w:color="auto"/>
              <w:right w:val="single" w:sz="4" w:space="0" w:color="auto"/>
            </w:tcBorders>
            <w:shd w:val="clear" w:color="auto" w:fill="auto"/>
            <w:noWrap/>
            <w:vAlign w:val="center"/>
          </w:tcPr>
          <w:p w:rsidR="00A93FFA" w:rsidRPr="00632978" w:rsidRDefault="00A93FFA" w:rsidP="00632978">
            <w:pPr>
              <w:spacing w:after="0" w:line="240" w:lineRule="auto"/>
              <w:jc w:val="center"/>
              <w:rPr>
                <w:rFonts w:ascii="Times New Roman" w:eastAsia="Times New Roman" w:hAnsi="Times New Roman"/>
                <w:bCs/>
                <w:color w:val="000000"/>
                <w:sz w:val="20"/>
                <w:szCs w:val="20"/>
                <w:lang w:eastAsia="ru-RU"/>
              </w:rPr>
            </w:pP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Постоянная схема</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A93FFA" w:rsidRPr="00632978" w:rsidRDefault="001172CF" w:rsidP="00632978">
            <w:pPr>
              <w:spacing w:after="0" w:line="240" w:lineRule="auto"/>
              <w:jc w:val="center"/>
              <w:rPr>
                <w:rFonts w:ascii="Times New Roman" w:eastAsia="Times New Roman" w:hAnsi="Times New Roman"/>
                <w:bCs/>
                <w:color w:val="000000"/>
                <w:sz w:val="20"/>
                <w:szCs w:val="20"/>
                <w:lang w:eastAsia="ru-RU"/>
              </w:rPr>
            </w:pPr>
            <w:r w:rsidRPr="00632978">
              <w:rPr>
                <w:rFonts w:ascii="Times New Roman" w:eastAsia="Times New Roman" w:hAnsi="Times New Roman"/>
                <w:bCs/>
                <w:color w:val="000000"/>
                <w:sz w:val="20"/>
                <w:szCs w:val="20"/>
                <w:lang w:eastAsia="ru-RU"/>
              </w:rPr>
              <w:t>Временная схема</w:t>
            </w:r>
          </w:p>
        </w:tc>
      </w:tr>
      <w:tr w:rsidR="007D5C40" w:rsidRPr="004024E9" w:rsidTr="00256BD4">
        <w:trPr>
          <w:gridAfter w:val="1"/>
          <w:wAfter w:w="237" w:type="pct"/>
          <w:trHeight w:val="231"/>
        </w:trPr>
        <w:tc>
          <w:tcPr>
            <w:tcW w:w="2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ind w:left="-108"/>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w:t>
            </w:r>
          </w:p>
        </w:tc>
        <w:tc>
          <w:tcPr>
            <w:tcW w:w="3321"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2</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7D5C40" w:rsidRPr="00632978" w:rsidRDefault="007D5C40" w:rsidP="00632978">
            <w:pPr>
              <w:spacing w:after="0" w:line="240" w:lineRule="auto"/>
              <w:jc w:val="center"/>
              <w:rPr>
                <w:rFonts w:ascii="Times New Roman" w:eastAsia="Times New Roman" w:hAnsi="Times New Roman"/>
                <w:bCs/>
                <w:color w:val="000000"/>
                <w:sz w:val="20"/>
                <w:szCs w:val="20"/>
                <w:lang w:eastAsia="ru-RU"/>
              </w:rPr>
            </w:pPr>
            <w:r>
              <w:rPr>
                <w:rFonts w:ascii="Times New Roman" w:eastAsia="Times New Roman" w:hAnsi="Times New Roman"/>
                <w:bCs/>
                <w:color w:val="000000"/>
                <w:sz w:val="20"/>
                <w:szCs w:val="20"/>
                <w:lang w:eastAsia="ru-RU"/>
              </w:rPr>
              <w:t>4</w:t>
            </w:r>
          </w:p>
        </w:tc>
      </w:tr>
      <w:tr w:rsidR="00A93FFA" w:rsidRPr="004024E9" w:rsidTr="00256BD4">
        <w:trPr>
          <w:gridAfter w:val="1"/>
          <w:wAfter w:w="237" w:type="pct"/>
          <w:trHeight w:val="1032"/>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93FFA" w:rsidRPr="00632978" w:rsidRDefault="00A93FFA" w:rsidP="00632978">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w:t>
            </w:r>
          </w:p>
        </w:tc>
        <w:tc>
          <w:tcPr>
            <w:tcW w:w="4508"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632978" w:rsidRDefault="00A93FFA" w:rsidP="00632978">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при технологическом присоединении по мероприятиям, не включающим в себя строительство и реконструкцию объектов электросетевого хозяйства (руб</w:t>
            </w:r>
            <w:r w:rsidR="000E74CA" w:rsidRPr="00632978">
              <w:rPr>
                <w:rFonts w:ascii="Times New Roman" w:eastAsia="Times New Roman" w:hAnsi="Times New Roman"/>
                <w:color w:val="000000"/>
                <w:sz w:val="20"/>
                <w:szCs w:val="20"/>
                <w:lang w:eastAsia="ru-RU"/>
              </w:rPr>
              <w:t>.</w:t>
            </w:r>
            <w:r w:rsidRPr="00632978">
              <w:rPr>
                <w:rFonts w:ascii="Times New Roman" w:eastAsia="Times New Roman" w:hAnsi="Times New Roman"/>
                <w:color w:val="000000"/>
                <w:sz w:val="20"/>
                <w:szCs w:val="20"/>
                <w:lang w:eastAsia="ru-RU"/>
              </w:rPr>
              <w:t>/кВт)</w:t>
            </w:r>
            <w:r w:rsidR="00031F6C" w:rsidRPr="00632978">
              <w:rPr>
                <w:rFonts w:ascii="Times New Roman" w:eastAsia="Times New Roman" w:hAnsi="Times New Roman"/>
                <w:color w:val="000000"/>
                <w:sz w:val="20"/>
                <w:szCs w:val="20"/>
                <w:lang w:eastAsia="ru-RU"/>
              </w:rPr>
              <w:t xml:space="preserve"> в ценах 2016 года</w:t>
            </w:r>
          </w:p>
        </w:tc>
      </w:tr>
      <w:tr w:rsidR="001A0A55" w:rsidRPr="004024E9" w:rsidTr="00256BD4">
        <w:trPr>
          <w:gridAfter w:val="1"/>
          <w:wAfter w:w="237" w:type="pct"/>
          <w:trHeight w:val="246"/>
        </w:trPr>
        <w:tc>
          <w:tcPr>
            <w:tcW w:w="255" w:type="pct"/>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33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70,97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70,97</w:t>
            </w:r>
          </w:p>
        </w:tc>
      </w:tr>
      <w:tr w:rsidR="001A0A55" w:rsidRPr="004024E9" w:rsidTr="00256BD4">
        <w:trPr>
          <w:gridAfter w:val="1"/>
          <w:wAfter w:w="237" w:type="pct"/>
          <w:trHeight w:val="246"/>
        </w:trPr>
        <w:tc>
          <w:tcPr>
            <w:tcW w:w="255" w:type="pct"/>
            <w:vMerge/>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3321"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14,20</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14,20</w:t>
            </w:r>
          </w:p>
        </w:tc>
      </w:tr>
      <w:tr w:rsidR="001A0A55" w:rsidRPr="004024E9" w:rsidTr="00256BD4">
        <w:trPr>
          <w:gridAfter w:val="1"/>
          <w:wAfter w:w="237" w:type="pct"/>
          <w:trHeight w:val="173"/>
        </w:trPr>
        <w:tc>
          <w:tcPr>
            <w:tcW w:w="255" w:type="pct"/>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3321" w:type="pct"/>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8,35</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8,35</w:t>
            </w:r>
          </w:p>
        </w:tc>
      </w:tr>
      <w:tr w:rsidR="001A0A55" w:rsidRPr="004024E9" w:rsidTr="00256BD4">
        <w:trPr>
          <w:gridAfter w:val="1"/>
          <w:wAfter w:w="237" w:type="pct"/>
          <w:trHeight w:val="60"/>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С1.1</w:t>
            </w:r>
          </w:p>
        </w:tc>
        <w:tc>
          <w:tcPr>
            <w:tcW w:w="136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Подготовка и выдача сетевой организацией технических условий Заявителю (ТУ)</w:t>
            </w: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57,64</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57,64</w:t>
            </w:r>
          </w:p>
        </w:tc>
      </w:tr>
      <w:tr w:rsidR="001A0A55" w:rsidRPr="004024E9" w:rsidTr="00256BD4">
        <w:trPr>
          <w:gridAfter w:val="1"/>
          <w:wAfter w:w="237" w:type="pct"/>
          <w:trHeight w:val="70"/>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11,53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11,53</w:t>
            </w:r>
          </w:p>
        </w:tc>
      </w:tr>
      <w:tr w:rsidR="001A0A55" w:rsidRPr="004024E9" w:rsidTr="00256BD4">
        <w:trPr>
          <w:gridAfter w:val="1"/>
          <w:wAfter w:w="237" w:type="pct"/>
          <w:trHeight w:val="70"/>
        </w:trPr>
        <w:tc>
          <w:tcPr>
            <w:tcW w:w="255" w:type="pct"/>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6,78</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6,78</w:t>
            </w:r>
          </w:p>
        </w:tc>
      </w:tr>
      <w:tr w:rsidR="001A0A55" w:rsidRPr="004024E9" w:rsidTr="00256BD4">
        <w:trPr>
          <w:gridAfter w:val="1"/>
          <w:wAfter w:w="237" w:type="pct"/>
          <w:trHeight w:val="70"/>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С1.2</w:t>
            </w:r>
          </w:p>
        </w:tc>
        <w:tc>
          <w:tcPr>
            <w:tcW w:w="136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Проверка сетевой организацией выполнения Заявителем ТУ</w:t>
            </w: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13,33</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0"/>
                <w:szCs w:val="20"/>
              </w:rPr>
            </w:pPr>
            <w:r w:rsidRPr="001A0A55">
              <w:rPr>
                <w:rFonts w:ascii="Times New Roman" w:hAnsi="Times New Roman"/>
                <w:color w:val="000000"/>
                <w:sz w:val="20"/>
                <w:szCs w:val="20"/>
              </w:rPr>
              <w:t>13,33</w:t>
            </w:r>
          </w:p>
        </w:tc>
      </w:tr>
      <w:tr w:rsidR="001A0A55" w:rsidRPr="004024E9" w:rsidTr="00256BD4">
        <w:trPr>
          <w:gridAfter w:val="1"/>
          <w:wAfter w:w="237" w:type="pct"/>
          <w:trHeight w:val="104"/>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2,67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2,67</w:t>
            </w:r>
          </w:p>
        </w:tc>
      </w:tr>
      <w:tr w:rsidR="001A0A55" w:rsidRPr="004024E9" w:rsidTr="00256BD4">
        <w:trPr>
          <w:gridAfter w:val="1"/>
          <w:wAfter w:w="237" w:type="pct"/>
          <w:trHeight w:val="70"/>
        </w:trPr>
        <w:tc>
          <w:tcPr>
            <w:tcW w:w="255" w:type="pct"/>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1,57</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0"/>
                <w:szCs w:val="20"/>
              </w:rPr>
            </w:pPr>
            <w:r w:rsidRPr="001A0A55">
              <w:rPr>
                <w:rFonts w:ascii="Times New Roman" w:hAnsi="Times New Roman"/>
                <w:color w:val="000000"/>
                <w:sz w:val="20"/>
                <w:szCs w:val="20"/>
              </w:rPr>
              <w:t>1,57</w:t>
            </w:r>
          </w:p>
        </w:tc>
      </w:tr>
      <w:tr w:rsidR="001A0A55" w:rsidRPr="004024E9" w:rsidTr="00256BD4">
        <w:trPr>
          <w:gridAfter w:val="1"/>
          <w:wAfter w:w="237" w:type="pct"/>
          <w:trHeight w:val="505"/>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С1.3</w:t>
            </w:r>
          </w:p>
        </w:tc>
        <w:tc>
          <w:tcPr>
            <w:tcW w:w="1364" w:type="pct"/>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1957"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556"/>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70"/>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315"/>
        </w:trPr>
        <w:tc>
          <w:tcPr>
            <w:tcW w:w="25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С1.4</w:t>
            </w:r>
          </w:p>
        </w:tc>
        <w:tc>
          <w:tcPr>
            <w:tcW w:w="136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Фактические действия по присоединению и обеспечению работы Устройств в электрической сети</w:t>
            </w:r>
          </w:p>
        </w:tc>
        <w:tc>
          <w:tcPr>
            <w:tcW w:w="1957" w:type="pct"/>
            <w:gridSpan w:val="2"/>
            <w:tcBorders>
              <w:top w:val="single" w:sz="4" w:space="0" w:color="auto"/>
              <w:left w:val="nil"/>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до 150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334"/>
        </w:trPr>
        <w:tc>
          <w:tcPr>
            <w:tcW w:w="255" w:type="pct"/>
            <w:vMerge/>
            <w:tcBorders>
              <w:top w:val="single" w:sz="4" w:space="0" w:color="auto"/>
              <w:left w:val="single" w:sz="4" w:space="0" w:color="auto"/>
              <w:bottom w:val="single" w:sz="4" w:space="0" w:color="auto"/>
              <w:right w:val="single" w:sz="4" w:space="0" w:color="auto"/>
            </w:tcBorders>
            <w:shd w:val="clear" w:color="auto" w:fill="auto"/>
            <w:noWrap/>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150 кВт и до 670 кВт (включительно)</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60"/>
        </w:trPr>
        <w:tc>
          <w:tcPr>
            <w:tcW w:w="255" w:type="pct"/>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p>
        </w:tc>
        <w:tc>
          <w:tcPr>
            <w:tcW w:w="1364" w:type="pct"/>
            <w:gridSpan w:val="2"/>
            <w:vMerge/>
            <w:tcBorders>
              <w:top w:val="single" w:sz="4" w:space="0" w:color="auto"/>
              <w:left w:val="single" w:sz="4" w:space="0" w:color="auto"/>
              <w:bottom w:val="single" w:sz="4" w:space="0" w:color="auto"/>
              <w:right w:val="single" w:sz="4" w:space="0" w:color="auto"/>
            </w:tcBorders>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p>
        </w:tc>
        <w:tc>
          <w:tcPr>
            <w:tcW w:w="1957" w:type="pct"/>
            <w:gridSpan w:val="2"/>
            <w:tcBorders>
              <w:top w:val="single" w:sz="4" w:space="0" w:color="auto"/>
              <w:left w:val="nil"/>
              <w:bottom w:val="single" w:sz="4" w:space="0" w:color="auto"/>
              <w:right w:val="single" w:sz="4" w:space="0" w:color="auto"/>
            </w:tcBorders>
            <w:shd w:val="clear" w:color="auto" w:fill="auto"/>
            <w:vAlign w:val="center"/>
            <w:hideMark/>
          </w:tcPr>
          <w:p w:rsidR="001A0A55" w:rsidRPr="00632978" w:rsidRDefault="001A0A55" w:rsidP="001A0A55">
            <w:pPr>
              <w:spacing w:after="0" w:line="240" w:lineRule="auto"/>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свыше 670 кВт</w:t>
            </w:r>
          </w:p>
        </w:tc>
        <w:tc>
          <w:tcPr>
            <w:tcW w:w="612" w:type="pct"/>
            <w:gridSpan w:val="2"/>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575" w:type="pct"/>
            <w:tcBorders>
              <w:top w:val="single" w:sz="4" w:space="0" w:color="auto"/>
              <w:left w:val="nil"/>
              <w:bottom w:val="single" w:sz="4" w:space="0" w:color="auto"/>
              <w:right w:val="single" w:sz="4" w:space="0" w:color="auto"/>
            </w:tcBorders>
            <w:shd w:val="clear" w:color="auto" w:fill="auto"/>
            <w:vAlign w:val="center"/>
          </w:tcPr>
          <w:p w:rsidR="001A0A55" w:rsidRPr="00632978" w:rsidRDefault="001A0A55" w:rsidP="001A0A5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1A0A55" w:rsidRPr="004024E9" w:rsidTr="00256BD4">
        <w:trPr>
          <w:gridAfter w:val="1"/>
          <w:wAfter w:w="237" w:type="pct"/>
          <w:trHeight w:val="1427"/>
        </w:trPr>
        <w:tc>
          <w:tcPr>
            <w:tcW w:w="255" w:type="pct"/>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w:t>
            </w:r>
          </w:p>
        </w:tc>
        <w:tc>
          <w:tcPr>
            <w:tcW w:w="4508" w:type="pct"/>
            <w:gridSpan w:val="7"/>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jc w:val="both"/>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воздушных линий электропередачи (руб./км) в ценах 2001 года</w:t>
            </w:r>
          </w:p>
        </w:tc>
      </w:tr>
      <w:tr w:rsidR="00217CDB" w:rsidRPr="004024E9" w:rsidTr="00217CDB">
        <w:trPr>
          <w:gridAfter w:val="1"/>
          <w:wAfter w:w="237" w:type="pct"/>
          <w:trHeight w:val="463"/>
        </w:trPr>
        <w:tc>
          <w:tcPr>
            <w:tcW w:w="255" w:type="pct"/>
            <w:tcBorders>
              <w:top w:val="single" w:sz="4" w:space="0" w:color="auto"/>
              <w:left w:val="single" w:sz="4" w:space="0" w:color="auto"/>
              <w:bottom w:val="single" w:sz="4" w:space="0" w:color="auto"/>
              <w:right w:val="single" w:sz="4" w:space="0" w:color="auto"/>
            </w:tcBorders>
            <w:vAlign w:val="center"/>
          </w:tcPr>
          <w:p w:rsidR="00217CDB" w:rsidRPr="00632978" w:rsidRDefault="00217CDB"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С2.1.</w:t>
            </w:r>
          </w:p>
        </w:tc>
        <w:tc>
          <w:tcPr>
            <w:tcW w:w="3321" w:type="pct"/>
            <w:gridSpan w:val="4"/>
            <w:tcBorders>
              <w:top w:val="single" w:sz="4" w:space="0" w:color="auto"/>
              <w:left w:val="single" w:sz="4" w:space="0" w:color="auto"/>
              <w:bottom w:val="single" w:sz="4" w:space="0" w:color="auto"/>
              <w:right w:val="single" w:sz="4" w:space="0" w:color="auto"/>
            </w:tcBorders>
          </w:tcPr>
          <w:p w:rsidR="00217CDB" w:rsidRPr="00632978" w:rsidRDefault="00217CDB" w:rsidP="001A0A55">
            <w:pPr>
              <w:spacing w:after="0" w:line="240" w:lineRule="auto"/>
              <w:rPr>
                <w:rFonts w:ascii="Times New Roman" w:hAnsi="Times New Roman"/>
                <w:sz w:val="20"/>
                <w:szCs w:val="20"/>
              </w:rPr>
            </w:pPr>
            <w:r w:rsidRPr="00632978">
              <w:rPr>
                <w:rFonts w:ascii="Times New Roman" w:hAnsi="Times New Roman"/>
                <w:sz w:val="20"/>
                <w:szCs w:val="20"/>
              </w:rPr>
              <w:t>Строительство 1 км ВЛ-6 (10) кВ проводом СИП-3 1х95 мм2 на железобетонных опорах с установкой разъединителя РЛНД-6 (10) и разрядников РДИП-6 (10)</w:t>
            </w:r>
          </w:p>
        </w:tc>
        <w:tc>
          <w:tcPr>
            <w:tcW w:w="593" w:type="pct"/>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eastAsia="Times New Roman" w:hAnsi="Times New Roman"/>
                <w:color w:val="000000"/>
                <w:sz w:val="20"/>
                <w:szCs w:val="20"/>
              </w:rPr>
            </w:pPr>
            <w:r w:rsidRPr="001A0A55">
              <w:rPr>
                <w:rFonts w:ascii="Times New Roman" w:hAnsi="Times New Roman"/>
                <w:color w:val="000000"/>
                <w:sz w:val="20"/>
                <w:szCs w:val="20"/>
              </w:rPr>
              <w:t>244 499,28</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217CDB" w:rsidRPr="004024E9" w:rsidTr="00217CDB">
        <w:trPr>
          <w:gridAfter w:val="1"/>
          <w:wAfter w:w="237" w:type="pct"/>
          <w:trHeight w:val="60"/>
        </w:trPr>
        <w:tc>
          <w:tcPr>
            <w:tcW w:w="255" w:type="pct"/>
            <w:tcBorders>
              <w:top w:val="single" w:sz="4" w:space="0" w:color="auto"/>
              <w:left w:val="single" w:sz="4" w:space="0" w:color="auto"/>
              <w:bottom w:val="single" w:sz="4" w:space="0" w:color="auto"/>
              <w:right w:val="single" w:sz="4" w:space="0" w:color="auto"/>
            </w:tcBorders>
            <w:vAlign w:val="center"/>
          </w:tcPr>
          <w:p w:rsidR="00217CDB" w:rsidRPr="00632978" w:rsidRDefault="00217CDB"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С2.2.</w:t>
            </w:r>
          </w:p>
        </w:tc>
        <w:tc>
          <w:tcPr>
            <w:tcW w:w="3321" w:type="pct"/>
            <w:gridSpan w:val="4"/>
            <w:tcBorders>
              <w:top w:val="single" w:sz="4" w:space="0" w:color="auto"/>
              <w:left w:val="single" w:sz="4" w:space="0" w:color="auto"/>
              <w:bottom w:val="single" w:sz="4" w:space="0" w:color="auto"/>
              <w:right w:val="single" w:sz="4" w:space="0" w:color="auto"/>
            </w:tcBorders>
          </w:tcPr>
          <w:p w:rsidR="00217CDB" w:rsidRPr="00632978" w:rsidRDefault="00217CDB" w:rsidP="001A0A55">
            <w:pPr>
              <w:spacing w:after="0" w:line="240" w:lineRule="auto"/>
              <w:rPr>
                <w:rFonts w:ascii="Times New Roman" w:hAnsi="Times New Roman"/>
                <w:sz w:val="20"/>
                <w:szCs w:val="20"/>
              </w:rPr>
            </w:pPr>
            <w:r w:rsidRPr="00632978">
              <w:rPr>
                <w:rFonts w:ascii="Times New Roman" w:hAnsi="Times New Roman"/>
                <w:sz w:val="20"/>
                <w:szCs w:val="20"/>
              </w:rPr>
              <w:t>Строительство 1 км ВЛ-0,4 кВ проводом СИП-2 3х95+1х95 мм2 на железобетонных опорах</w:t>
            </w:r>
          </w:p>
        </w:tc>
        <w:tc>
          <w:tcPr>
            <w:tcW w:w="593" w:type="pct"/>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hAnsi="Times New Roman"/>
                <w:color w:val="000000"/>
                <w:sz w:val="20"/>
                <w:szCs w:val="20"/>
              </w:rPr>
            </w:pPr>
            <w:r w:rsidRPr="001A0A55">
              <w:rPr>
                <w:rFonts w:ascii="Times New Roman" w:hAnsi="Times New Roman"/>
                <w:color w:val="000000"/>
                <w:sz w:val="20"/>
                <w:szCs w:val="20"/>
              </w:rPr>
              <w:t>234 517,47</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hAnsi="Times New Roman"/>
                <w:color w:val="000000"/>
                <w:sz w:val="20"/>
                <w:szCs w:val="20"/>
              </w:rPr>
            </w:pPr>
            <w:r>
              <w:rPr>
                <w:rFonts w:ascii="Times New Roman" w:hAnsi="Times New Roman"/>
                <w:color w:val="000000"/>
                <w:sz w:val="20"/>
                <w:szCs w:val="20"/>
              </w:rPr>
              <w:t>-</w:t>
            </w:r>
          </w:p>
        </w:tc>
      </w:tr>
      <w:tr w:rsidR="00256BD4" w:rsidRPr="004024E9" w:rsidTr="00256BD4">
        <w:trPr>
          <w:gridAfter w:val="1"/>
          <w:wAfter w:w="237" w:type="pct"/>
          <w:trHeight w:val="60"/>
        </w:trPr>
        <w:tc>
          <w:tcPr>
            <w:tcW w:w="255" w:type="pct"/>
            <w:tcBorders>
              <w:top w:val="single" w:sz="4" w:space="0" w:color="auto"/>
              <w:left w:val="single" w:sz="4" w:space="0" w:color="auto"/>
              <w:bottom w:val="single" w:sz="4" w:space="0" w:color="auto"/>
              <w:right w:val="single" w:sz="4" w:space="0" w:color="auto"/>
            </w:tcBorders>
            <w:vAlign w:val="center"/>
          </w:tcPr>
          <w:p w:rsidR="00256BD4" w:rsidRPr="00256BD4" w:rsidRDefault="00256BD4" w:rsidP="00256BD4">
            <w:pPr>
              <w:spacing w:after="0" w:line="240" w:lineRule="auto"/>
              <w:ind w:left="-108" w:right="-109"/>
              <w:jc w:val="center"/>
              <w:rPr>
                <w:rFonts w:ascii="Times New Roman" w:eastAsia="Times New Roman" w:hAnsi="Times New Roman"/>
                <w:color w:val="000000"/>
                <w:sz w:val="20"/>
                <w:szCs w:val="20"/>
                <w:lang w:eastAsia="ru-RU"/>
              </w:rPr>
            </w:pPr>
            <w:r w:rsidRPr="00256BD4">
              <w:rPr>
                <w:rFonts w:ascii="Times New Roman" w:eastAsia="Times New Roman" w:hAnsi="Times New Roman"/>
                <w:color w:val="000000"/>
                <w:sz w:val="20"/>
                <w:szCs w:val="20"/>
                <w:lang w:eastAsia="ru-RU"/>
              </w:rPr>
              <w:lastRenderedPageBreak/>
              <w:t>1</w:t>
            </w:r>
          </w:p>
        </w:tc>
        <w:tc>
          <w:tcPr>
            <w:tcW w:w="3321" w:type="pct"/>
            <w:gridSpan w:val="4"/>
            <w:tcBorders>
              <w:top w:val="single" w:sz="4" w:space="0" w:color="auto"/>
              <w:left w:val="single" w:sz="4" w:space="0" w:color="auto"/>
              <w:bottom w:val="single" w:sz="4" w:space="0" w:color="auto"/>
              <w:right w:val="single" w:sz="4" w:space="0" w:color="auto"/>
            </w:tcBorders>
          </w:tcPr>
          <w:p w:rsidR="00256BD4" w:rsidRPr="00256BD4" w:rsidRDefault="00256BD4" w:rsidP="00256BD4">
            <w:pPr>
              <w:spacing w:after="0" w:line="240" w:lineRule="auto"/>
              <w:jc w:val="center"/>
              <w:rPr>
                <w:rFonts w:ascii="Times New Roman" w:hAnsi="Times New Roman"/>
                <w:sz w:val="20"/>
                <w:szCs w:val="20"/>
              </w:rPr>
            </w:pPr>
            <w:r w:rsidRPr="00256BD4">
              <w:rPr>
                <w:rFonts w:ascii="Times New Roman" w:hAnsi="Times New Roman"/>
                <w:sz w:val="20"/>
                <w:szCs w:val="20"/>
              </w:rPr>
              <w:t>2</w:t>
            </w:r>
          </w:p>
        </w:tc>
        <w:tc>
          <w:tcPr>
            <w:tcW w:w="593" w:type="pct"/>
            <w:tcBorders>
              <w:top w:val="single" w:sz="4" w:space="0" w:color="auto"/>
              <w:left w:val="nil"/>
              <w:bottom w:val="single" w:sz="4" w:space="0" w:color="auto"/>
              <w:right w:val="single" w:sz="4" w:space="0" w:color="auto"/>
            </w:tcBorders>
            <w:shd w:val="clear" w:color="auto" w:fill="auto"/>
            <w:vAlign w:val="center"/>
          </w:tcPr>
          <w:p w:rsidR="00256BD4" w:rsidRPr="00256BD4" w:rsidRDefault="00256BD4" w:rsidP="00256BD4">
            <w:pPr>
              <w:spacing w:after="0"/>
              <w:jc w:val="center"/>
              <w:rPr>
                <w:rFonts w:ascii="Times New Roman" w:hAnsi="Times New Roman"/>
                <w:color w:val="000000"/>
                <w:sz w:val="20"/>
                <w:szCs w:val="20"/>
              </w:rPr>
            </w:pPr>
            <w:r w:rsidRPr="00256BD4">
              <w:rPr>
                <w:rFonts w:ascii="Times New Roman" w:hAnsi="Times New Roman"/>
                <w:color w:val="000000"/>
                <w:sz w:val="20"/>
                <w:szCs w:val="20"/>
              </w:rPr>
              <w:t>3</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256BD4" w:rsidRPr="00256BD4" w:rsidRDefault="00256BD4" w:rsidP="00256BD4">
            <w:pPr>
              <w:spacing w:after="0"/>
              <w:jc w:val="center"/>
              <w:rPr>
                <w:rFonts w:ascii="Times New Roman" w:hAnsi="Times New Roman"/>
                <w:color w:val="000000"/>
                <w:sz w:val="20"/>
                <w:szCs w:val="20"/>
              </w:rPr>
            </w:pPr>
            <w:r w:rsidRPr="00256BD4">
              <w:rPr>
                <w:rFonts w:ascii="Times New Roman" w:hAnsi="Times New Roman"/>
                <w:color w:val="000000"/>
                <w:sz w:val="20"/>
                <w:szCs w:val="20"/>
              </w:rPr>
              <w:t>4</w:t>
            </w:r>
          </w:p>
        </w:tc>
      </w:tr>
      <w:tr w:rsidR="001A0A55" w:rsidRPr="004024E9" w:rsidTr="00256BD4">
        <w:trPr>
          <w:gridAfter w:val="1"/>
          <w:wAfter w:w="237" w:type="pct"/>
          <w:trHeight w:val="1420"/>
        </w:trPr>
        <w:tc>
          <w:tcPr>
            <w:tcW w:w="255" w:type="pct"/>
            <w:tcBorders>
              <w:top w:val="single" w:sz="4" w:space="0" w:color="auto"/>
              <w:left w:val="single" w:sz="4" w:space="0" w:color="auto"/>
              <w:bottom w:val="single" w:sz="4" w:space="0" w:color="auto"/>
              <w:right w:val="single" w:sz="4" w:space="0" w:color="auto"/>
            </w:tcBorders>
            <w:vAlign w:val="center"/>
          </w:tcPr>
          <w:p w:rsidR="001A0A55" w:rsidRPr="00632978" w:rsidRDefault="001A0A55"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С4</w:t>
            </w:r>
          </w:p>
        </w:tc>
        <w:tc>
          <w:tcPr>
            <w:tcW w:w="4508" w:type="pct"/>
            <w:gridSpan w:val="7"/>
            <w:tcBorders>
              <w:top w:val="single" w:sz="4" w:space="0" w:color="auto"/>
              <w:left w:val="single" w:sz="4" w:space="0" w:color="auto"/>
              <w:bottom w:val="single" w:sz="4" w:space="0" w:color="auto"/>
              <w:right w:val="single" w:sz="4" w:space="0" w:color="auto"/>
            </w:tcBorders>
            <w:vAlign w:val="center"/>
          </w:tcPr>
          <w:p w:rsidR="001A0A55" w:rsidRPr="001A0A55" w:rsidRDefault="001A0A55" w:rsidP="001A0A55">
            <w:pPr>
              <w:spacing w:after="0" w:line="240" w:lineRule="auto"/>
              <w:jc w:val="both"/>
              <w:rPr>
                <w:rFonts w:ascii="Times New Roman" w:eastAsia="Times New Roman" w:hAnsi="Times New Roman"/>
                <w:color w:val="000000"/>
                <w:sz w:val="20"/>
                <w:szCs w:val="20"/>
                <w:lang w:eastAsia="ru-RU"/>
              </w:rPr>
            </w:pPr>
            <w:r w:rsidRPr="001A0A55">
              <w:rPr>
                <w:rFonts w:ascii="Times New Roman" w:eastAsia="Times New Roman" w:hAnsi="Times New Roman"/>
                <w:color w:val="000000"/>
                <w:sz w:val="20"/>
                <w:szCs w:val="20"/>
                <w:lang w:eastAsia="ru-RU"/>
              </w:rPr>
              <w:t>Стандартизированная тарифная ставка на покрытие расходов на строительство и реконструкцию объектов электросетевого хозяйства при технологическом присоединении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в части расходов на строительство и реконструкцию подстанций, (руб./кВт) в ценах 2001 года</w:t>
            </w:r>
          </w:p>
        </w:tc>
      </w:tr>
      <w:tr w:rsidR="00217CDB" w:rsidRPr="004024E9" w:rsidTr="00217CDB">
        <w:trPr>
          <w:gridAfter w:val="1"/>
          <w:wAfter w:w="237" w:type="pct"/>
          <w:trHeight w:val="60"/>
        </w:trPr>
        <w:tc>
          <w:tcPr>
            <w:tcW w:w="255" w:type="pct"/>
            <w:tcBorders>
              <w:top w:val="single" w:sz="4" w:space="0" w:color="auto"/>
              <w:left w:val="single" w:sz="4" w:space="0" w:color="auto"/>
              <w:bottom w:val="single" w:sz="4" w:space="0" w:color="auto"/>
              <w:right w:val="single" w:sz="4" w:space="0" w:color="auto"/>
            </w:tcBorders>
            <w:vAlign w:val="center"/>
          </w:tcPr>
          <w:p w:rsidR="00217CDB" w:rsidRPr="00632978" w:rsidRDefault="00217CDB"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С4.1.</w:t>
            </w:r>
          </w:p>
        </w:tc>
        <w:tc>
          <w:tcPr>
            <w:tcW w:w="3321" w:type="pct"/>
            <w:gridSpan w:val="4"/>
            <w:tcBorders>
              <w:top w:val="single" w:sz="4" w:space="0" w:color="auto"/>
              <w:left w:val="single" w:sz="4" w:space="0" w:color="auto"/>
              <w:bottom w:val="single" w:sz="4" w:space="0" w:color="auto"/>
              <w:right w:val="single" w:sz="4" w:space="0" w:color="auto"/>
            </w:tcBorders>
          </w:tcPr>
          <w:p w:rsidR="00217CDB" w:rsidRPr="00632978" w:rsidRDefault="00217CDB" w:rsidP="001A0A55">
            <w:pPr>
              <w:spacing w:after="0" w:line="240" w:lineRule="auto"/>
              <w:rPr>
                <w:rFonts w:ascii="Times New Roman" w:hAnsi="Times New Roman"/>
                <w:sz w:val="20"/>
                <w:szCs w:val="20"/>
              </w:rPr>
            </w:pPr>
            <w:r w:rsidRPr="00632978">
              <w:rPr>
                <w:rFonts w:ascii="Times New Roman" w:hAnsi="Times New Roman"/>
                <w:sz w:val="20"/>
                <w:szCs w:val="20"/>
              </w:rPr>
              <w:t>Строительство 2КТПН-6 (10)/0,4 кВ тупикового типа с установкой трансформаторов 2х400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eastAsia="Times New Roman" w:hAnsi="Times New Roman"/>
                <w:color w:val="000000"/>
                <w:sz w:val="20"/>
                <w:szCs w:val="20"/>
              </w:rPr>
            </w:pPr>
            <w:r w:rsidRPr="001A0A55">
              <w:rPr>
                <w:rFonts w:ascii="Times New Roman" w:hAnsi="Times New Roman"/>
                <w:color w:val="000000"/>
                <w:sz w:val="20"/>
                <w:szCs w:val="20"/>
              </w:rPr>
              <w:t>192,64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r>
      <w:tr w:rsidR="00217CDB" w:rsidRPr="004024E9" w:rsidTr="00217CDB">
        <w:trPr>
          <w:gridAfter w:val="1"/>
          <w:wAfter w:w="237" w:type="pct"/>
          <w:trHeight w:val="60"/>
        </w:trPr>
        <w:tc>
          <w:tcPr>
            <w:tcW w:w="255" w:type="pct"/>
            <w:tcBorders>
              <w:top w:val="single" w:sz="4" w:space="0" w:color="auto"/>
              <w:left w:val="single" w:sz="4" w:space="0" w:color="auto"/>
              <w:bottom w:val="single" w:sz="4" w:space="0" w:color="auto"/>
              <w:right w:val="single" w:sz="4" w:space="0" w:color="auto"/>
            </w:tcBorders>
            <w:vAlign w:val="center"/>
          </w:tcPr>
          <w:p w:rsidR="00217CDB" w:rsidRPr="00632978" w:rsidRDefault="00217CDB" w:rsidP="001A0A55">
            <w:pPr>
              <w:spacing w:after="0" w:line="240" w:lineRule="auto"/>
              <w:ind w:left="-108" w:right="-109"/>
              <w:jc w:val="center"/>
              <w:rPr>
                <w:rFonts w:ascii="Times New Roman" w:eastAsia="Times New Roman" w:hAnsi="Times New Roman"/>
                <w:color w:val="000000"/>
                <w:sz w:val="20"/>
                <w:szCs w:val="20"/>
                <w:lang w:eastAsia="ru-RU"/>
              </w:rPr>
            </w:pPr>
            <w:r w:rsidRPr="00632978">
              <w:rPr>
                <w:rFonts w:ascii="Times New Roman" w:eastAsia="Times New Roman" w:hAnsi="Times New Roman"/>
                <w:color w:val="000000"/>
                <w:sz w:val="20"/>
                <w:szCs w:val="20"/>
                <w:lang w:eastAsia="ru-RU"/>
              </w:rPr>
              <w:t>С4.2.</w:t>
            </w:r>
          </w:p>
        </w:tc>
        <w:tc>
          <w:tcPr>
            <w:tcW w:w="3321" w:type="pct"/>
            <w:gridSpan w:val="4"/>
            <w:tcBorders>
              <w:top w:val="single" w:sz="4" w:space="0" w:color="auto"/>
              <w:left w:val="single" w:sz="4" w:space="0" w:color="auto"/>
              <w:bottom w:val="single" w:sz="4" w:space="0" w:color="auto"/>
              <w:right w:val="single" w:sz="4" w:space="0" w:color="auto"/>
            </w:tcBorders>
          </w:tcPr>
          <w:p w:rsidR="00217CDB" w:rsidRPr="00632978" w:rsidRDefault="00217CDB" w:rsidP="001A0A55">
            <w:pPr>
              <w:spacing w:after="0" w:line="240" w:lineRule="auto"/>
              <w:rPr>
                <w:rFonts w:ascii="Times New Roman" w:hAnsi="Times New Roman"/>
                <w:sz w:val="20"/>
                <w:szCs w:val="20"/>
              </w:rPr>
            </w:pPr>
            <w:r w:rsidRPr="00632978">
              <w:rPr>
                <w:rFonts w:ascii="Times New Roman" w:hAnsi="Times New Roman"/>
                <w:sz w:val="20"/>
                <w:szCs w:val="20"/>
              </w:rPr>
              <w:t>Строительство 2КТПН-6 (10)/0,4 кВ тупикового типа с установкой трансформаторов 2х250 кВА</w:t>
            </w:r>
          </w:p>
        </w:tc>
        <w:tc>
          <w:tcPr>
            <w:tcW w:w="593" w:type="pct"/>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hAnsi="Times New Roman"/>
                <w:color w:val="000000"/>
                <w:sz w:val="20"/>
                <w:szCs w:val="20"/>
              </w:rPr>
            </w:pPr>
            <w:r w:rsidRPr="001A0A55">
              <w:rPr>
                <w:rFonts w:ascii="Times New Roman" w:hAnsi="Times New Roman"/>
                <w:color w:val="000000"/>
                <w:sz w:val="20"/>
                <w:szCs w:val="20"/>
              </w:rPr>
              <w:t>277,64</w:t>
            </w:r>
          </w:p>
        </w:tc>
        <w:tc>
          <w:tcPr>
            <w:tcW w:w="594" w:type="pct"/>
            <w:gridSpan w:val="2"/>
            <w:tcBorders>
              <w:top w:val="single" w:sz="4" w:space="0" w:color="auto"/>
              <w:left w:val="nil"/>
              <w:bottom w:val="single" w:sz="4" w:space="0" w:color="auto"/>
              <w:right w:val="single" w:sz="4" w:space="0" w:color="auto"/>
            </w:tcBorders>
            <w:shd w:val="clear" w:color="auto" w:fill="auto"/>
            <w:vAlign w:val="center"/>
          </w:tcPr>
          <w:p w:rsidR="00217CDB" w:rsidRPr="001A0A55" w:rsidRDefault="00217CDB" w:rsidP="001A0A55">
            <w:pPr>
              <w:spacing w:after="0"/>
              <w:jc w:val="center"/>
              <w:rPr>
                <w:rFonts w:ascii="Times New Roman" w:hAnsi="Times New Roman"/>
                <w:color w:val="000000"/>
                <w:sz w:val="20"/>
                <w:szCs w:val="20"/>
              </w:rPr>
            </w:pPr>
            <w:r>
              <w:rPr>
                <w:rFonts w:ascii="Times New Roman" w:hAnsi="Times New Roman"/>
                <w:color w:val="000000"/>
                <w:sz w:val="20"/>
                <w:szCs w:val="20"/>
              </w:rPr>
              <w:t>-</w:t>
            </w:r>
          </w:p>
        </w:tc>
      </w:tr>
    </w:tbl>
    <w:p w:rsidR="00D93152" w:rsidRDefault="00D93152"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A93FFA" w:rsidRDefault="007D5C40" w:rsidP="007D5C40">
      <w:pPr>
        <w:widowControl w:val="0"/>
        <w:spacing w:after="0" w:line="240" w:lineRule="auto"/>
        <w:jc w:val="both"/>
        <w:outlineLvl w:val="1"/>
        <w:rPr>
          <w:rFonts w:ascii="Times New Roman" w:eastAsia="Times New Roman" w:hAnsi="Times New Roman"/>
          <w:sz w:val="28"/>
          <w:szCs w:val="28"/>
          <w:lang w:eastAsia="ru-RU"/>
        </w:r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p w:rsidR="007D5C40" w:rsidRDefault="007D5C40" w:rsidP="00A93FFA">
      <w:pPr>
        <w:widowControl w:val="0"/>
        <w:spacing w:after="0" w:line="240" w:lineRule="auto"/>
        <w:jc w:val="both"/>
        <w:outlineLvl w:val="1"/>
        <w:rPr>
          <w:rFonts w:ascii="Times New Roman" w:eastAsia="Times New Roman" w:hAnsi="Times New Roman"/>
          <w:sz w:val="28"/>
          <w:szCs w:val="28"/>
          <w:lang w:eastAsia="ru-RU"/>
        </w:rPr>
      </w:pPr>
    </w:p>
    <w:p w:rsidR="00A93FFA" w:rsidRDefault="00A93FFA">
      <w:pPr>
        <w:sectPr w:rsidR="00A93FFA" w:rsidSect="00256BD4">
          <w:headerReference w:type="default" r:id="rId8"/>
          <w:headerReference w:type="first" r:id="rId9"/>
          <w:pgSz w:w="11906" w:h="16838"/>
          <w:pgMar w:top="1134" w:right="991" w:bottom="1134" w:left="1701" w:header="708" w:footer="708" w:gutter="0"/>
          <w:cols w:space="708"/>
          <w:titlePg/>
          <w:docGrid w:linePitch="360"/>
        </w:sectPr>
      </w:pPr>
    </w:p>
    <w:tbl>
      <w:tblPr>
        <w:tblW w:w="14743" w:type="dxa"/>
        <w:tblInd w:w="-34" w:type="dxa"/>
        <w:tblLayout w:type="fixed"/>
        <w:tblLook w:val="04A0" w:firstRow="1" w:lastRow="0" w:firstColumn="1" w:lastColumn="0" w:noHBand="0" w:noVBand="1"/>
      </w:tblPr>
      <w:tblGrid>
        <w:gridCol w:w="844"/>
        <w:gridCol w:w="282"/>
        <w:gridCol w:w="2759"/>
        <w:gridCol w:w="556"/>
        <w:gridCol w:w="257"/>
        <w:gridCol w:w="1437"/>
        <w:gridCol w:w="1745"/>
        <w:gridCol w:w="53"/>
        <w:gridCol w:w="1707"/>
        <w:gridCol w:w="1559"/>
        <w:gridCol w:w="1701"/>
        <w:gridCol w:w="1843"/>
      </w:tblGrid>
      <w:tr w:rsidR="00A93FFA" w:rsidRPr="004024E9" w:rsidTr="00E909FA">
        <w:trPr>
          <w:trHeight w:val="1710"/>
        </w:trPr>
        <w:tc>
          <w:tcPr>
            <w:tcW w:w="1126" w:type="dxa"/>
            <w:gridSpan w:val="2"/>
            <w:tcBorders>
              <w:top w:val="nil"/>
              <w:left w:val="nil"/>
              <w:bottom w:val="nil"/>
              <w:right w:val="nil"/>
            </w:tcBorders>
            <w:shd w:val="clear" w:color="auto" w:fill="auto"/>
            <w:noWrap/>
            <w:vAlign w:val="center"/>
            <w:hideMark/>
          </w:tcPr>
          <w:p w:rsidR="00A93FFA" w:rsidRPr="004024E9" w:rsidRDefault="00A93FFA" w:rsidP="00E909FA">
            <w:pPr>
              <w:spacing w:after="0" w:line="240" w:lineRule="auto"/>
              <w:jc w:val="center"/>
              <w:rPr>
                <w:rFonts w:ascii="Times New Roman" w:eastAsia="Times New Roman" w:hAnsi="Times New Roman"/>
                <w:sz w:val="28"/>
                <w:szCs w:val="28"/>
                <w:lang w:eastAsia="ru-RU"/>
              </w:rPr>
            </w:pPr>
          </w:p>
        </w:tc>
        <w:tc>
          <w:tcPr>
            <w:tcW w:w="2759" w:type="dxa"/>
            <w:tcBorders>
              <w:top w:val="nil"/>
              <w:left w:val="nil"/>
              <w:bottom w:val="nil"/>
              <w:right w:val="nil"/>
            </w:tcBorders>
            <w:shd w:val="clear" w:color="auto" w:fill="auto"/>
            <w:noWrap/>
            <w:vAlign w:val="bottom"/>
            <w:hideMark/>
          </w:tcPr>
          <w:p w:rsidR="00A93FFA" w:rsidRPr="00AE1586" w:rsidRDefault="00A93FFA" w:rsidP="00E909FA">
            <w:pPr>
              <w:spacing w:after="0" w:line="240" w:lineRule="auto"/>
              <w:rPr>
                <w:rFonts w:ascii="Times New Roman" w:eastAsia="Times New Roman" w:hAnsi="Times New Roman"/>
                <w:sz w:val="24"/>
                <w:szCs w:val="24"/>
                <w:lang w:eastAsia="ru-RU"/>
              </w:rPr>
            </w:pPr>
          </w:p>
        </w:tc>
        <w:tc>
          <w:tcPr>
            <w:tcW w:w="2250" w:type="dxa"/>
            <w:gridSpan w:val="3"/>
            <w:tcBorders>
              <w:top w:val="nil"/>
              <w:left w:val="nil"/>
              <w:bottom w:val="nil"/>
              <w:right w:val="nil"/>
            </w:tcBorders>
            <w:shd w:val="clear" w:color="auto" w:fill="auto"/>
            <w:noWrap/>
            <w:vAlign w:val="bottom"/>
            <w:hideMark/>
          </w:tcPr>
          <w:p w:rsidR="00A93FFA" w:rsidRPr="00AE1586" w:rsidRDefault="00A93FFA" w:rsidP="00E909FA">
            <w:pPr>
              <w:spacing w:after="0" w:line="240" w:lineRule="auto"/>
              <w:rPr>
                <w:rFonts w:ascii="Times New Roman" w:eastAsia="Times New Roman" w:hAnsi="Times New Roman"/>
                <w:sz w:val="24"/>
                <w:szCs w:val="24"/>
                <w:lang w:eastAsia="ru-RU"/>
              </w:rPr>
            </w:pPr>
          </w:p>
        </w:tc>
        <w:tc>
          <w:tcPr>
            <w:tcW w:w="1745" w:type="dxa"/>
            <w:tcBorders>
              <w:top w:val="nil"/>
              <w:left w:val="nil"/>
              <w:bottom w:val="nil"/>
              <w:right w:val="nil"/>
            </w:tcBorders>
            <w:shd w:val="clear" w:color="auto" w:fill="auto"/>
            <w:noWrap/>
            <w:vAlign w:val="bottom"/>
            <w:hideMark/>
          </w:tcPr>
          <w:p w:rsidR="00A93FFA" w:rsidRPr="00AE1586" w:rsidRDefault="00A93FFA" w:rsidP="00E909FA">
            <w:pPr>
              <w:spacing w:after="0" w:line="240" w:lineRule="auto"/>
              <w:rPr>
                <w:rFonts w:ascii="Times New Roman" w:eastAsia="Times New Roman" w:hAnsi="Times New Roman"/>
                <w:sz w:val="24"/>
                <w:szCs w:val="24"/>
                <w:lang w:eastAsia="ru-RU"/>
              </w:rPr>
            </w:pPr>
          </w:p>
        </w:tc>
        <w:tc>
          <w:tcPr>
            <w:tcW w:w="6863" w:type="dxa"/>
            <w:gridSpan w:val="5"/>
            <w:tcBorders>
              <w:top w:val="nil"/>
              <w:left w:val="nil"/>
              <w:bottom w:val="nil"/>
              <w:right w:val="nil"/>
            </w:tcBorders>
            <w:shd w:val="clear" w:color="auto" w:fill="auto"/>
            <w:vAlign w:val="center"/>
            <w:hideMark/>
          </w:tcPr>
          <w:p w:rsidR="00A93FFA" w:rsidRPr="002E0FA2" w:rsidRDefault="00A93FFA" w:rsidP="00E909FA">
            <w:pPr>
              <w:spacing w:after="0" w:line="240" w:lineRule="auto"/>
              <w:jc w:val="center"/>
              <w:rPr>
                <w:rFonts w:ascii="Times New Roman" w:eastAsia="Times New Roman" w:hAnsi="Times New Roman"/>
                <w:sz w:val="28"/>
                <w:szCs w:val="28"/>
                <w:lang w:eastAsia="ru-RU"/>
              </w:rPr>
            </w:pPr>
            <w:r w:rsidRPr="002E0FA2">
              <w:rPr>
                <w:rFonts w:ascii="Times New Roman" w:eastAsia="Times New Roman" w:hAnsi="Times New Roman"/>
                <w:sz w:val="28"/>
                <w:szCs w:val="28"/>
                <w:lang w:eastAsia="ru-RU"/>
              </w:rPr>
              <w:t>Приложение №</w:t>
            </w:r>
            <w:r w:rsidR="00A137CA" w:rsidRPr="002E0FA2">
              <w:rPr>
                <w:rFonts w:ascii="Times New Roman" w:eastAsia="Times New Roman" w:hAnsi="Times New Roman"/>
                <w:sz w:val="28"/>
                <w:szCs w:val="28"/>
                <w:lang w:eastAsia="ru-RU"/>
              </w:rPr>
              <w:t xml:space="preserve"> </w:t>
            </w:r>
            <w:r w:rsidRPr="002E0FA2">
              <w:rPr>
                <w:rFonts w:ascii="Times New Roman" w:eastAsia="Times New Roman" w:hAnsi="Times New Roman"/>
                <w:sz w:val="28"/>
                <w:szCs w:val="28"/>
                <w:lang w:eastAsia="ru-RU"/>
              </w:rPr>
              <w:t>2</w:t>
            </w:r>
          </w:p>
          <w:p w:rsidR="00A93FFA" w:rsidRPr="002E0FA2" w:rsidRDefault="00A93FFA" w:rsidP="00E909FA">
            <w:pPr>
              <w:pStyle w:val="FR1"/>
              <w:ind w:left="0"/>
              <w:rPr>
                <w:szCs w:val="28"/>
              </w:rPr>
            </w:pPr>
            <w:r w:rsidRPr="002E0FA2">
              <w:rPr>
                <w:szCs w:val="28"/>
              </w:rPr>
              <w:t xml:space="preserve">к постановлению региональной </w:t>
            </w:r>
          </w:p>
          <w:p w:rsidR="00A93FFA" w:rsidRPr="002E0FA2" w:rsidRDefault="00A93FFA" w:rsidP="00E909FA">
            <w:pPr>
              <w:pStyle w:val="FR1"/>
              <w:ind w:left="0"/>
              <w:rPr>
                <w:szCs w:val="28"/>
              </w:rPr>
            </w:pPr>
            <w:r w:rsidRPr="002E0FA2">
              <w:rPr>
                <w:szCs w:val="28"/>
              </w:rPr>
              <w:t xml:space="preserve">энергетической комиссии </w:t>
            </w:r>
          </w:p>
          <w:p w:rsidR="00A93FFA" w:rsidRPr="002E0FA2" w:rsidRDefault="00A93FFA" w:rsidP="00E909FA">
            <w:pPr>
              <w:pStyle w:val="FR1"/>
              <w:ind w:left="0"/>
              <w:rPr>
                <w:szCs w:val="28"/>
              </w:rPr>
            </w:pPr>
            <w:r w:rsidRPr="002E0FA2">
              <w:rPr>
                <w:szCs w:val="28"/>
              </w:rPr>
              <w:t>Кемеровской области</w:t>
            </w:r>
          </w:p>
          <w:p w:rsidR="00A93FFA" w:rsidRPr="002E0FA2" w:rsidRDefault="00A93FFA" w:rsidP="00E909FA">
            <w:pPr>
              <w:pStyle w:val="FR1"/>
              <w:ind w:left="0"/>
              <w:rPr>
                <w:szCs w:val="28"/>
              </w:rPr>
            </w:pPr>
            <w:r w:rsidRPr="002E0FA2">
              <w:rPr>
                <w:szCs w:val="28"/>
              </w:rPr>
              <w:t>от «</w:t>
            </w:r>
            <w:r w:rsidR="00161F46">
              <w:rPr>
                <w:szCs w:val="28"/>
              </w:rPr>
              <w:t>31</w:t>
            </w:r>
            <w:r w:rsidRPr="002E0FA2">
              <w:rPr>
                <w:szCs w:val="28"/>
              </w:rPr>
              <w:t>» декабря 2015 года №</w:t>
            </w:r>
            <w:r w:rsidR="00161F46">
              <w:rPr>
                <w:szCs w:val="28"/>
              </w:rPr>
              <w:t xml:space="preserve"> 1031</w:t>
            </w:r>
          </w:p>
          <w:p w:rsidR="00A93FFA" w:rsidRPr="00AE1586" w:rsidRDefault="00A93FFA" w:rsidP="00E909FA">
            <w:pPr>
              <w:spacing w:after="0" w:line="240" w:lineRule="auto"/>
              <w:jc w:val="right"/>
              <w:rPr>
                <w:rFonts w:ascii="Times New Roman" w:eastAsia="Times New Roman" w:hAnsi="Times New Roman"/>
                <w:sz w:val="24"/>
                <w:szCs w:val="24"/>
                <w:highlight w:val="yellow"/>
                <w:lang w:eastAsia="ru-RU"/>
              </w:rPr>
            </w:pPr>
          </w:p>
        </w:tc>
      </w:tr>
      <w:tr w:rsidR="00A93FFA" w:rsidRPr="004024E9" w:rsidTr="00E909FA">
        <w:trPr>
          <w:trHeight w:val="509"/>
        </w:trPr>
        <w:tc>
          <w:tcPr>
            <w:tcW w:w="14743" w:type="dxa"/>
            <w:gridSpan w:val="12"/>
            <w:vMerge w:val="restart"/>
            <w:tcBorders>
              <w:top w:val="nil"/>
              <w:left w:val="nil"/>
              <w:bottom w:val="nil"/>
              <w:right w:val="nil"/>
            </w:tcBorders>
            <w:shd w:val="clear" w:color="auto" w:fill="auto"/>
            <w:vAlign w:val="center"/>
            <w:hideMark/>
          </w:tcPr>
          <w:tbl>
            <w:tblPr>
              <w:tblW w:w="14740" w:type="dxa"/>
              <w:tblLayout w:type="fixed"/>
              <w:tblLook w:val="04A0" w:firstRow="1" w:lastRow="0" w:firstColumn="1" w:lastColumn="0" w:noHBand="0" w:noVBand="1"/>
            </w:tblPr>
            <w:tblGrid>
              <w:gridCol w:w="14740"/>
            </w:tblGrid>
            <w:tr w:rsidR="00511232" w:rsidRPr="002E0FA2" w:rsidTr="002E0FA2">
              <w:trPr>
                <w:trHeight w:val="300"/>
              </w:trPr>
              <w:tc>
                <w:tcPr>
                  <w:tcW w:w="5000" w:type="pct"/>
                  <w:tcBorders>
                    <w:top w:val="nil"/>
                    <w:left w:val="nil"/>
                    <w:bottom w:val="nil"/>
                    <w:right w:val="nil"/>
                  </w:tcBorders>
                  <w:vAlign w:val="center"/>
                </w:tcPr>
                <w:p w:rsidR="00256BD4" w:rsidRDefault="00A93FFA" w:rsidP="00256BD4">
                  <w:pPr>
                    <w:spacing w:after="0" w:line="240" w:lineRule="auto"/>
                    <w:ind w:firstLine="210"/>
                    <w:jc w:val="center"/>
                    <w:rPr>
                      <w:rFonts w:ascii="Times New Roman" w:eastAsia="Times New Roman" w:hAnsi="Times New Roman"/>
                      <w:b/>
                      <w:bCs/>
                      <w:sz w:val="28"/>
                      <w:szCs w:val="28"/>
                      <w:lang w:eastAsia="ru-RU"/>
                    </w:rPr>
                  </w:pPr>
                  <w:r w:rsidRPr="002E0FA2">
                    <w:rPr>
                      <w:rFonts w:ascii="Times New Roman" w:eastAsia="Times New Roman" w:hAnsi="Times New Roman"/>
                      <w:b/>
                      <w:bCs/>
                      <w:sz w:val="28"/>
                      <w:szCs w:val="28"/>
                      <w:lang w:eastAsia="ru-RU"/>
                    </w:rPr>
                    <w:t>Ставки за единицу максимальной мощности</w:t>
                  </w:r>
                  <w:r w:rsidR="00031F6C">
                    <w:rPr>
                      <w:rFonts w:ascii="Times New Roman" w:eastAsia="Times New Roman" w:hAnsi="Times New Roman"/>
                      <w:b/>
                      <w:bCs/>
                      <w:sz w:val="28"/>
                      <w:szCs w:val="28"/>
                      <w:lang w:eastAsia="ru-RU"/>
                    </w:rPr>
                    <w:t xml:space="preserve"> </w:t>
                  </w:r>
                  <w:r w:rsidR="007B4E37" w:rsidRPr="007B4E37">
                    <w:rPr>
                      <w:rFonts w:ascii="Times New Roman" w:eastAsia="Times New Roman" w:hAnsi="Times New Roman"/>
                      <w:b/>
                      <w:bCs/>
                      <w:sz w:val="28"/>
                      <w:szCs w:val="28"/>
                      <w:lang w:eastAsia="ru-RU"/>
                    </w:rPr>
                    <w:t>для расчета платы за</w:t>
                  </w:r>
                  <w:r w:rsidR="00031F6C">
                    <w:rPr>
                      <w:rFonts w:ascii="Times New Roman" w:eastAsia="Times New Roman" w:hAnsi="Times New Roman"/>
                      <w:b/>
                      <w:bCs/>
                      <w:sz w:val="28"/>
                      <w:szCs w:val="28"/>
                      <w:lang w:eastAsia="ru-RU"/>
                    </w:rPr>
                    <w:t xml:space="preserve"> </w:t>
                  </w:r>
                  <w:r w:rsidRPr="002E0FA2">
                    <w:rPr>
                      <w:rFonts w:ascii="Times New Roman" w:eastAsia="Times New Roman" w:hAnsi="Times New Roman"/>
                      <w:b/>
                      <w:bCs/>
                      <w:sz w:val="28"/>
                      <w:szCs w:val="28"/>
                      <w:lang w:eastAsia="ru-RU"/>
                    </w:rPr>
                    <w:t>технологическо</w:t>
                  </w:r>
                  <w:r w:rsidR="00AF540D">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присоединени</w:t>
                  </w:r>
                  <w:r w:rsidR="008B5823">
                    <w:rPr>
                      <w:rFonts w:ascii="Times New Roman" w:eastAsia="Times New Roman" w:hAnsi="Times New Roman"/>
                      <w:b/>
                      <w:bCs/>
                      <w:sz w:val="28"/>
                      <w:szCs w:val="28"/>
                      <w:lang w:eastAsia="ru-RU"/>
                    </w:rPr>
                    <w:t>е</w:t>
                  </w:r>
                  <w:r w:rsidRPr="002E0FA2">
                    <w:rPr>
                      <w:rFonts w:ascii="Times New Roman" w:eastAsia="Times New Roman" w:hAnsi="Times New Roman"/>
                      <w:b/>
                      <w:bCs/>
                      <w:sz w:val="28"/>
                      <w:szCs w:val="28"/>
                      <w:lang w:eastAsia="ru-RU"/>
                    </w:rPr>
                    <w:t xml:space="preserve"> </w:t>
                  </w:r>
                  <w:r w:rsidR="00B41DD5">
                    <w:rPr>
                      <w:rFonts w:ascii="Times New Roman" w:eastAsia="Times New Roman" w:hAnsi="Times New Roman"/>
                      <w:b/>
                      <w:bCs/>
                      <w:sz w:val="28"/>
                      <w:szCs w:val="28"/>
                      <w:lang w:eastAsia="ru-RU"/>
                    </w:rPr>
                    <w:t>к электрическим сетям</w:t>
                  </w:r>
                  <w:r w:rsidR="007B4E37">
                    <w:rPr>
                      <w:rFonts w:ascii="Times New Roman" w:eastAsia="Times New Roman" w:hAnsi="Times New Roman"/>
                      <w:b/>
                      <w:bCs/>
                      <w:sz w:val="28"/>
                      <w:szCs w:val="28"/>
                      <w:lang w:eastAsia="ru-RU"/>
                    </w:rPr>
                    <w:t xml:space="preserve"> </w:t>
                  </w:r>
                  <w:r w:rsidR="00031F6C" w:rsidRPr="002E0FA2">
                    <w:rPr>
                      <w:rFonts w:ascii="Times New Roman" w:eastAsia="Times New Roman" w:hAnsi="Times New Roman"/>
                      <w:b/>
                      <w:bCs/>
                      <w:sz w:val="28"/>
                      <w:szCs w:val="28"/>
                      <w:lang w:eastAsia="ru-RU"/>
                    </w:rPr>
                    <w:t>ООО «</w:t>
                  </w:r>
                  <w:r w:rsidR="000E74CA">
                    <w:rPr>
                      <w:rFonts w:ascii="Times New Roman" w:hAnsi="Times New Roman"/>
                      <w:b/>
                      <w:sz w:val="28"/>
                      <w:szCs w:val="28"/>
                    </w:rPr>
                    <w:t>Электросетьсервис</w:t>
                  </w:r>
                  <w:r w:rsidR="00031F6C" w:rsidRPr="002E0FA2">
                    <w:rPr>
                      <w:rFonts w:ascii="Times New Roman" w:eastAsia="Times New Roman" w:hAnsi="Times New Roman"/>
                      <w:b/>
                      <w:bCs/>
                      <w:sz w:val="28"/>
                      <w:szCs w:val="28"/>
                      <w:lang w:eastAsia="ru-RU"/>
                    </w:rPr>
                    <w:t>»</w:t>
                  </w:r>
                  <w:r w:rsidR="002D4C40">
                    <w:rPr>
                      <w:rFonts w:ascii="Times New Roman" w:eastAsia="Times New Roman" w:hAnsi="Times New Roman"/>
                      <w:b/>
                      <w:bCs/>
                      <w:sz w:val="28"/>
                      <w:szCs w:val="28"/>
                      <w:lang w:eastAsia="ru-RU"/>
                    </w:rPr>
                    <w:t xml:space="preserve"> </w:t>
                  </w:r>
                  <w:r w:rsidR="00256BD4">
                    <w:rPr>
                      <w:rFonts w:ascii="Times New Roman" w:hAnsi="Times New Roman"/>
                      <w:b/>
                      <w:sz w:val="28"/>
                      <w:szCs w:val="28"/>
                    </w:rPr>
                    <w:t>по Кемеровской области</w:t>
                  </w:r>
                </w:p>
                <w:p w:rsidR="00256BD4" w:rsidRDefault="00256BD4" w:rsidP="00256BD4">
                  <w:pPr>
                    <w:spacing w:after="0" w:line="240" w:lineRule="auto"/>
                    <w:ind w:firstLine="210"/>
                    <w:jc w:val="center"/>
                    <w:rPr>
                      <w:rFonts w:ascii="Times New Roman" w:eastAsia="Times New Roman" w:hAnsi="Times New Roman"/>
                      <w:b/>
                      <w:bCs/>
                      <w:sz w:val="28"/>
                      <w:szCs w:val="28"/>
                      <w:lang w:eastAsia="ru-RU"/>
                    </w:rPr>
                  </w:pPr>
                  <w:r w:rsidRPr="00900EAC">
                    <w:rPr>
                      <w:rFonts w:ascii="Times New Roman" w:eastAsia="Times New Roman" w:hAnsi="Times New Roman"/>
                      <w:b/>
                      <w:bCs/>
                      <w:sz w:val="28"/>
                      <w:szCs w:val="28"/>
                      <w:lang w:eastAsia="ru-RU"/>
                    </w:rPr>
                    <w:t xml:space="preserve">на </w:t>
                  </w:r>
                  <w:r>
                    <w:rPr>
                      <w:rFonts w:ascii="Times New Roman" w:eastAsia="Times New Roman" w:hAnsi="Times New Roman"/>
                      <w:b/>
                      <w:bCs/>
                      <w:sz w:val="28"/>
                      <w:szCs w:val="28"/>
                      <w:lang w:eastAsia="ru-RU"/>
                    </w:rPr>
                    <w:t xml:space="preserve">период </w:t>
                  </w:r>
                  <w:r w:rsidRPr="00F436B1">
                    <w:rPr>
                      <w:rFonts w:ascii="Times New Roman" w:hAnsi="Times New Roman"/>
                      <w:b/>
                      <w:sz w:val="28"/>
                      <w:szCs w:val="28"/>
                    </w:rPr>
                    <w:t>с 01.01.2016 по 31.12.2016</w:t>
                  </w:r>
                </w:p>
                <w:p w:rsidR="00511232" w:rsidRPr="00D16B4A" w:rsidRDefault="002E0FA2" w:rsidP="007C463F">
                  <w:pPr>
                    <w:spacing w:after="0" w:line="240" w:lineRule="auto"/>
                    <w:jc w:val="right"/>
                    <w:rPr>
                      <w:rFonts w:ascii="Times New Roman" w:eastAsia="Times New Roman" w:hAnsi="Times New Roman"/>
                      <w:bCs/>
                      <w:sz w:val="24"/>
                      <w:szCs w:val="24"/>
                      <w:lang w:eastAsia="ru-RU"/>
                    </w:rPr>
                  </w:pPr>
                  <w:r w:rsidRPr="00D16B4A">
                    <w:rPr>
                      <w:rFonts w:ascii="Times New Roman" w:eastAsia="Times New Roman" w:hAnsi="Times New Roman"/>
                      <w:bCs/>
                      <w:sz w:val="24"/>
                      <w:szCs w:val="24"/>
                      <w:lang w:eastAsia="ru-RU"/>
                    </w:rPr>
                    <w:t xml:space="preserve"> </w:t>
                  </w:r>
                  <w:r w:rsidR="00511232" w:rsidRPr="00D16B4A">
                    <w:rPr>
                      <w:rFonts w:ascii="Times New Roman" w:eastAsia="Times New Roman" w:hAnsi="Times New Roman"/>
                      <w:bCs/>
                      <w:sz w:val="24"/>
                      <w:szCs w:val="24"/>
                      <w:lang w:eastAsia="ru-RU"/>
                    </w:rPr>
                    <w:t>(без учета НДС)</w:t>
                  </w:r>
                </w:p>
              </w:tc>
            </w:tr>
          </w:tbl>
          <w:p w:rsidR="00511232" w:rsidRPr="00AE1586" w:rsidRDefault="00511232" w:rsidP="0036478A">
            <w:pPr>
              <w:spacing w:after="0" w:line="240" w:lineRule="auto"/>
              <w:ind w:firstLine="210"/>
              <w:jc w:val="center"/>
              <w:rPr>
                <w:rFonts w:ascii="Times New Roman" w:eastAsia="Times New Roman" w:hAnsi="Times New Roman"/>
                <w:b/>
                <w:bCs/>
                <w:sz w:val="24"/>
                <w:szCs w:val="24"/>
                <w:highlight w:val="yellow"/>
                <w:lang w:eastAsia="ru-RU"/>
              </w:rPr>
            </w:pPr>
          </w:p>
        </w:tc>
      </w:tr>
      <w:tr w:rsidR="00A93FFA" w:rsidRPr="004024E9" w:rsidTr="007C342F">
        <w:trPr>
          <w:trHeight w:val="390"/>
        </w:trPr>
        <w:tc>
          <w:tcPr>
            <w:tcW w:w="14743" w:type="dxa"/>
            <w:gridSpan w:val="12"/>
            <w:vMerge/>
            <w:tcBorders>
              <w:top w:val="nil"/>
              <w:left w:val="nil"/>
              <w:bottom w:val="single" w:sz="4" w:space="0" w:color="auto"/>
              <w:right w:val="nil"/>
            </w:tcBorders>
            <w:vAlign w:val="center"/>
            <w:hideMark/>
          </w:tcPr>
          <w:p w:rsidR="00A93FFA" w:rsidRPr="004024E9" w:rsidRDefault="00A93FFA" w:rsidP="00E909FA">
            <w:pPr>
              <w:spacing w:after="0" w:line="240" w:lineRule="auto"/>
              <w:rPr>
                <w:rFonts w:ascii="Times New Roman" w:eastAsia="Times New Roman" w:hAnsi="Times New Roman"/>
                <w:bCs/>
                <w:sz w:val="28"/>
                <w:szCs w:val="28"/>
                <w:lang w:eastAsia="ru-RU"/>
              </w:rPr>
            </w:pPr>
          </w:p>
        </w:tc>
      </w:tr>
      <w:tr w:rsidR="00A93FFA" w:rsidRPr="004024E9" w:rsidTr="007C342F">
        <w:trPr>
          <w:trHeight w:val="1068"/>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N п/п</w:t>
            </w:r>
          </w:p>
        </w:tc>
        <w:tc>
          <w:tcPr>
            <w:tcW w:w="7089" w:type="dxa"/>
            <w:gridSpan w:val="7"/>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Наименование мероприятий</w:t>
            </w:r>
          </w:p>
        </w:tc>
        <w:tc>
          <w:tcPr>
            <w:tcW w:w="170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D16B4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Разбивка НВВ по каждому мероприятию (руб.)</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 xml:space="preserve">Объем </w:t>
            </w:r>
            <w:r w:rsidR="00D16B4A" w:rsidRPr="001172CF">
              <w:rPr>
                <w:rFonts w:ascii="Times New Roman" w:eastAsia="Times New Roman" w:hAnsi="Times New Roman"/>
                <w:bCs/>
                <w:color w:val="000000"/>
                <w:sz w:val="24"/>
                <w:szCs w:val="24"/>
                <w:lang w:eastAsia="ru-RU"/>
              </w:rPr>
              <w:t>максимальной</w:t>
            </w:r>
            <w:r w:rsidRPr="001172CF">
              <w:rPr>
                <w:rFonts w:ascii="Times New Roman" w:eastAsia="Times New Roman" w:hAnsi="Times New Roman"/>
                <w:bCs/>
                <w:color w:val="000000"/>
                <w:sz w:val="24"/>
                <w:szCs w:val="24"/>
                <w:lang w:eastAsia="ru-RU"/>
              </w:rPr>
              <w:t xml:space="preserve"> мощности (кВт)</w:t>
            </w:r>
          </w:p>
        </w:tc>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r w:rsidRPr="001172CF">
              <w:rPr>
                <w:rFonts w:ascii="Times New Roman" w:eastAsia="Times New Roman" w:hAnsi="Times New Roman"/>
                <w:bCs/>
                <w:color w:val="000000"/>
                <w:sz w:val="24"/>
                <w:szCs w:val="24"/>
                <w:lang w:eastAsia="ru-RU"/>
              </w:rPr>
              <w:t>Ставки для расчета платы по каждому мероприятию (руб./кВт)</w:t>
            </w:r>
          </w:p>
        </w:tc>
      </w:tr>
      <w:tr w:rsidR="00A93FFA" w:rsidRPr="004024E9" w:rsidTr="007C342F">
        <w:trPr>
          <w:trHeight w:val="1230"/>
        </w:trPr>
        <w:tc>
          <w:tcPr>
            <w:tcW w:w="844"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p>
        </w:tc>
        <w:tc>
          <w:tcPr>
            <w:tcW w:w="7089" w:type="dxa"/>
            <w:gridSpan w:val="7"/>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p>
        </w:tc>
        <w:tc>
          <w:tcPr>
            <w:tcW w:w="1707"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E909FA">
            <w:pPr>
              <w:spacing w:after="0" w:line="240" w:lineRule="auto"/>
              <w:jc w:val="center"/>
              <w:rPr>
                <w:rFonts w:ascii="Times New Roman" w:eastAsia="Times New Roman" w:hAnsi="Times New Roman"/>
                <w:bCs/>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2D4C40" w:rsidP="002D4C40">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Постоянная схема</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2D4C40" w:rsidP="002D4C40">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Временная схема</w:t>
            </w:r>
          </w:p>
        </w:tc>
      </w:tr>
      <w:tr w:rsidR="00A93FFA" w:rsidRPr="004024E9" w:rsidTr="007C342F">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A93FFA" w:rsidRPr="001172CF" w:rsidRDefault="00A93FFA" w:rsidP="00E909FA">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r>
      <w:tr w:rsidR="001A0A55" w:rsidRPr="004024E9" w:rsidTr="007C342F">
        <w:trPr>
          <w:trHeight w:val="42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1</w:t>
            </w:r>
          </w:p>
        </w:tc>
        <w:tc>
          <w:tcPr>
            <w:tcW w:w="359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Подготовка и выдача сетевой организацией технических условий Заявителю (ТУ)</w:t>
            </w: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rPr>
            </w:pPr>
            <w:r w:rsidRPr="001A0A55">
              <w:rPr>
                <w:rFonts w:ascii="Times New Roman" w:hAnsi="Times New Roman"/>
                <w:color w:val="000000"/>
                <w:sz w:val="24"/>
                <w:szCs w:val="24"/>
              </w:rPr>
              <w:t>5 764,25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57,64</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57,64</w:t>
            </w:r>
          </w:p>
        </w:tc>
      </w:tr>
      <w:tr w:rsidR="001A0A55"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 xml:space="preserve">свыше 150 кВт до 670 кВт (включительно) </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5 764,25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11,53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11,53</w:t>
            </w:r>
          </w:p>
        </w:tc>
      </w:tr>
      <w:tr w:rsidR="001A0A55" w:rsidRPr="004024E9" w:rsidTr="007C342F">
        <w:trPr>
          <w:trHeight w:val="43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597" w:type="dxa"/>
            <w:gridSpan w:val="3"/>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49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5 764,25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850,00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6,78</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6,78</w:t>
            </w:r>
          </w:p>
        </w:tc>
      </w:tr>
      <w:tr w:rsidR="001A0A55" w:rsidRPr="004024E9" w:rsidTr="007C342F">
        <w:trPr>
          <w:trHeight w:val="76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Разработка сетевой организацией проектной документации по строительству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r>
      <w:tr w:rsidR="001A0A55" w:rsidRPr="004024E9" w:rsidTr="00E909FA">
        <w:trPr>
          <w:trHeight w:val="675"/>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Выполнение сетевой организацией, мероприятий, связанных со строительством «последней мили»</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X</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X</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X</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X</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воздушных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r>
      <w:tr w:rsidR="00217CDB" w:rsidRPr="004024E9" w:rsidTr="00217CDB">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217CDB" w:rsidRPr="001172CF" w:rsidRDefault="00217CDB" w:rsidP="001A0A55">
            <w:pPr>
              <w:spacing w:after="0" w:line="240" w:lineRule="auto"/>
              <w:jc w:val="center"/>
              <w:rPr>
                <w:rFonts w:ascii="Times New Roman" w:eastAsia="Times New Roman" w:hAnsi="Times New Roman"/>
                <w:color w:val="000000"/>
                <w:sz w:val="24"/>
                <w:szCs w:val="24"/>
                <w:lang w:eastAsia="ru-RU"/>
              </w:rPr>
            </w:pP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217CDB" w:rsidRPr="001172CF" w:rsidRDefault="00217CDB" w:rsidP="001A0A5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ВЛ – 0,4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217CDB" w:rsidRPr="001A0A55" w:rsidRDefault="00217CDB" w:rsidP="001A0A55">
            <w:pPr>
              <w:spacing w:after="0" w:line="240" w:lineRule="auto"/>
              <w:jc w:val="center"/>
              <w:rPr>
                <w:rFonts w:ascii="Times New Roman" w:eastAsia="Times New Roman" w:hAnsi="Times New Roman"/>
                <w:color w:val="000000"/>
                <w:sz w:val="24"/>
                <w:szCs w:val="24"/>
              </w:rPr>
            </w:pPr>
            <w:r w:rsidRPr="001A0A55">
              <w:rPr>
                <w:rFonts w:ascii="Times New Roman" w:hAnsi="Times New Roman"/>
                <w:color w:val="000000"/>
                <w:sz w:val="24"/>
                <w:szCs w:val="24"/>
              </w:rPr>
              <w:t>1 336 749,58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17CDB" w:rsidRPr="001A0A55" w:rsidRDefault="00217CDB"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150,00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17CDB" w:rsidRPr="001A0A55" w:rsidRDefault="00217CDB"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hAnsi="Times New Roman"/>
                <w:bCs/>
                <w:color w:val="000000"/>
                <w:sz w:val="24"/>
                <w:szCs w:val="24"/>
              </w:rPr>
              <w:t>8 911,66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217CDB" w:rsidRPr="001A0A55" w:rsidRDefault="00217CDB" w:rsidP="001A0A55">
            <w:pPr>
              <w:spacing w:after="0" w:line="240" w:lineRule="auto"/>
              <w:jc w:val="center"/>
              <w:rPr>
                <w:rFonts w:ascii="Times New Roman" w:eastAsia="Times New Roman" w:hAnsi="Times New Roman"/>
                <w:bCs/>
                <w:color w:val="000000"/>
                <w:sz w:val="24"/>
                <w:szCs w:val="24"/>
                <w:lang w:eastAsia="ru-RU"/>
              </w:rPr>
            </w:pPr>
            <w:r>
              <w:rPr>
                <w:rFonts w:ascii="Times New Roman" w:eastAsia="Times New Roman" w:hAnsi="Times New Roman"/>
                <w:bCs/>
                <w:color w:val="000000"/>
                <w:sz w:val="24"/>
                <w:szCs w:val="24"/>
                <w:lang w:eastAsia="ru-RU"/>
              </w:rPr>
              <w:t>-</w:t>
            </w:r>
          </w:p>
        </w:tc>
      </w:tr>
      <w:tr w:rsidR="001A0A55" w:rsidRPr="004024E9" w:rsidTr="007C342F">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3.2</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кабельных линий</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r>
      <w:tr w:rsidR="001A0A55" w:rsidRPr="004024E9" w:rsidTr="002E0FA2">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lastRenderedPageBreak/>
              <w:t>1</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2</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6</w:t>
            </w:r>
          </w:p>
        </w:tc>
      </w:tr>
      <w:tr w:rsidR="001A0A55" w:rsidRPr="004024E9" w:rsidTr="00E909FA">
        <w:trPr>
          <w:trHeight w:val="312"/>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3.3</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пунктов секционирования</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r>
      <w:tr w:rsidR="001A0A55" w:rsidRPr="004024E9" w:rsidTr="00E909FA">
        <w:trPr>
          <w:trHeight w:val="108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3.4</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комплектных трансформаторных подстанций (КТП), распределительных трансформаторных подстанций (РТП) с уровнем напряжения до 35 кВ</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bCs/>
                <w:color w:val="000000"/>
                <w:sz w:val="24"/>
                <w:szCs w:val="24"/>
                <w:lang w:eastAsia="ru-RU"/>
              </w:rPr>
            </w:pPr>
            <w:r w:rsidRPr="001A0A55">
              <w:rPr>
                <w:rFonts w:ascii="Times New Roman" w:eastAsia="Times New Roman" w:hAnsi="Times New Roman"/>
                <w:bCs/>
                <w:color w:val="000000"/>
                <w:sz w:val="24"/>
                <w:szCs w:val="24"/>
                <w:lang w:eastAsia="ru-RU"/>
              </w:rPr>
              <w:t>-</w:t>
            </w:r>
          </w:p>
        </w:tc>
      </w:tr>
      <w:tr w:rsidR="001A0A55" w:rsidRPr="004024E9" w:rsidTr="00E909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3.5</w:t>
            </w:r>
          </w:p>
        </w:tc>
        <w:tc>
          <w:tcPr>
            <w:tcW w:w="708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строительство центров питания, подстанций уровнем напряжения 35 кВ и выше (ПС)</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r>
      <w:tr w:rsidR="001A0A55" w:rsidRPr="004024E9" w:rsidTr="007C342F">
        <w:trPr>
          <w:trHeight w:val="450"/>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4</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Проверка сетевой организацией выполнения Заявителем ТУ</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rPr>
            </w:pPr>
            <w:r w:rsidRPr="001A0A55">
              <w:rPr>
                <w:rFonts w:ascii="Times New Roman" w:hAnsi="Times New Roman"/>
                <w:color w:val="000000"/>
                <w:sz w:val="24"/>
                <w:szCs w:val="24"/>
              </w:rPr>
              <w:t>1 332,45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100,00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13,32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13,32</w:t>
            </w:r>
          </w:p>
        </w:tc>
      </w:tr>
      <w:tr w:rsidR="001A0A55" w:rsidRPr="004024E9" w:rsidTr="007C342F">
        <w:trPr>
          <w:trHeight w:val="46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1 332,45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500,00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2,66</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2,66</w:t>
            </w:r>
          </w:p>
        </w:tc>
      </w:tr>
      <w:tr w:rsidR="001A0A55" w:rsidRPr="004024E9" w:rsidTr="007C342F">
        <w:trPr>
          <w:trHeight w:val="48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1 332,45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850,00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1,57</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1,57</w:t>
            </w:r>
          </w:p>
        </w:tc>
      </w:tr>
      <w:tr w:rsidR="001A0A55" w:rsidRPr="004024E9" w:rsidTr="007C342F">
        <w:trPr>
          <w:trHeight w:val="728"/>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5</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Участие сетевой организации в осмотре должностным лицом органа федерального государственного энергетического надзора присоединяемых Устройств Заявителя</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r>
      <w:tr w:rsidR="001A0A55" w:rsidRPr="004024E9" w:rsidTr="007C342F">
        <w:trPr>
          <w:trHeight w:val="683"/>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w:t>
            </w:r>
          </w:p>
        </w:tc>
      </w:tr>
      <w:tr w:rsidR="001A0A55" w:rsidRPr="004024E9" w:rsidTr="007C342F">
        <w:trPr>
          <w:trHeight w:val="49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r>
      <w:tr w:rsidR="001A0A55" w:rsidRPr="004024E9" w:rsidTr="007C342F">
        <w:trPr>
          <w:trHeight w:val="459"/>
        </w:trPr>
        <w:tc>
          <w:tcPr>
            <w:tcW w:w="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6</w:t>
            </w:r>
          </w:p>
        </w:tc>
        <w:tc>
          <w:tcPr>
            <w:tcW w:w="3854"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Фактические действия по присоединению и обеспечению работы Устройств в электрической сети</w:t>
            </w: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до 150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r>
      <w:tr w:rsidR="001A0A55" w:rsidRPr="004024E9" w:rsidTr="007C342F">
        <w:trPr>
          <w:trHeight w:val="585"/>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150 кВт до 670 кВт (включительно)</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bottom"/>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tcPr>
          <w:p w:rsidR="001A0A55" w:rsidRPr="001A0A55" w:rsidRDefault="001A0A55" w:rsidP="001A0A55">
            <w:pPr>
              <w:spacing w:after="0" w:line="240" w:lineRule="auto"/>
              <w:jc w:val="center"/>
              <w:rPr>
                <w:rFonts w:ascii="Times New Roman" w:hAnsi="Times New Roman"/>
                <w:color w:val="000000"/>
                <w:sz w:val="24"/>
                <w:szCs w:val="24"/>
              </w:rPr>
            </w:pPr>
            <w:r w:rsidRPr="001A0A55">
              <w:rPr>
                <w:rFonts w:ascii="Times New Roman" w:hAnsi="Times New Roman"/>
                <w:color w:val="000000"/>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bottom"/>
          </w:tcPr>
          <w:p w:rsidR="001A0A55" w:rsidRPr="001A0A55" w:rsidRDefault="001A0A55" w:rsidP="001A0A55">
            <w:pPr>
              <w:spacing w:after="0" w:line="240" w:lineRule="auto"/>
              <w:jc w:val="center"/>
              <w:rPr>
                <w:rFonts w:ascii="Times New Roman" w:hAnsi="Times New Roman"/>
                <w:bCs/>
                <w:color w:val="000000"/>
                <w:sz w:val="24"/>
                <w:szCs w:val="24"/>
              </w:rPr>
            </w:pPr>
            <w:r w:rsidRPr="001A0A55">
              <w:rPr>
                <w:rFonts w:ascii="Times New Roman" w:hAnsi="Times New Roman"/>
                <w:bCs/>
                <w:color w:val="000000"/>
                <w:sz w:val="24"/>
                <w:szCs w:val="24"/>
              </w:rPr>
              <w:t>-</w:t>
            </w:r>
          </w:p>
        </w:tc>
      </w:tr>
      <w:tr w:rsidR="001A0A55" w:rsidRPr="004024E9" w:rsidTr="007C342F">
        <w:trPr>
          <w:trHeight w:val="450"/>
        </w:trPr>
        <w:tc>
          <w:tcPr>
            <w:tcW w:w="844" w:type="dxa"/>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jc w:val="center"/>
              <w:rPr>
                <w:rFonts w:ascii="Times New Roman" w:eastAsia="Times New Roman" w:hAnsi="Times New Roman"/>
                <w:color w:val="000000"/>
                <w:sz w:val="24"/>
                <w:szCs w:val="24"/>
                <w:lang w:eastAsia="ru-RU"/>
              </w:rPr>
            </w:pPr>
          </w:p>
        </w:tc>
        <w:tc>
          <w:tcPr>
            <w:tcW w:w="3854" w:type="dxa"/>
            <w:gridSpan w:val="4"/>
            <w:vMerge/>
            <w:tcBorders>
              <w:top w:val="single" w:sz="4" w:space="0" w:color="auto"/>
              <w:left w:val="single" w:sz="4" w:space="0" w:color="auto"/>
              <w:bottom w:val="single" w:sz="4" w:space="0" w:color="auto"/>
              <w:right w:val="single" w:sz="4" w:space="0" w:color="auto"/>
            </w:tcBorders>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p>
        </w:tc>
        <w:tc>
          <w:tcPr>
            <w:tcW w:w="32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172CF" w:rsidRDefault="001A0A55" w:rsidP="001A0A55">
            <w:pPr>
              <w:spacing w:after="0" w:line="240" w:lineRule="auto"/>
              <w:rPr>
                <w:rFonts w:ascii="Times New Roman" w:eastAsia="Times New Roman" w:hAnsi="Times New Roman"/>
                <w:color w:val="000000"/>
                <w:sz w:val="24"/>
                <w:szCs w:val="24"/>
                <w:lang w:eastAsia="ru-RU"/>
              </w:rPr>
            </w:pPr>
            <w:r w:rsidRPr="001172CF">
              <w:rPr>
                <w:rFonts w:ascii="Times New Roman" w:eastAsia="Times New Roman" w:hAnsi="Times New Roman"/>
                <w:color w:val="000000"/>
                <w:sz w:val="24"/>
                <w:szCs w:val="24"/>
                <w:lang w:eastAsia="ru-RU"/>
              </w:rPr>
              <w:t>свыше 670 кВт</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1A0A55" w:rsidRPr="001A0A55" w:rsidRDefault="001A0A55" w:rsidP="001A0A55">
            <w:pPr>
              <w:spacing w:after="0" w:line="240" w:lineRule="auto"/>
              <w:jc w:val="center"/>
              <w:rPr>
                <w:rFonts w:ascii="Times New Roman" w:eastAsia="Times New Roman" w:hAnsi="Times New Roman"/>
                <w:color w:val="000000"/>
                <w:sz w:val="24"/>
                <w:szCs w:val="24"/>
                <w:lang w:eastAsia="ru-RU"/>
              </w:rPr>
            </w:pPr>
            <w:r w:rsidRPr="001A0A55">
              <w:rPr>
                <w:rFonts w:ascii="Times New Roman" w:eastAsia="Times New Roman" w:hAnsi="Times New Roman"/>
                <w:color w:val="000000"/>
                <w:sz w:val="24"/>
                <w:szCs w:val="24"/>
                <w:lang w:eastAsia="ru-RU"/>
              </w:rPr>
              <w:t>-</w:t>
            </w:r>
          </w:p>
        </w:tc>
      </w:tr>
    </w:tbl>
    <w:p w:rsidR="007D5C40"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p>
    <w:p w:rsidR="007D5C40" w:rsidRPr="000A0C74" w:rsidRDefault="007D5C40" w:rsidP="007D5C40">
      <w:pPr>
        <w:widowControl w:val="0"/>
        <w:spacing w:after="0" w:line="240" w:lineRule="auto"/>
        <w:jc w:val="both"/>
        <w:outlineLvl w:val="1"/>
        <w:rPr>
          <w:rFonts w:ascii="Times New Roman" w:hAnsi="Times New Roman"/>
          <w:color w:val="000000"/>
          <w:sz w:val="24"/>
          <w:szCs w:val="24"/>
          <w:shd w:val="clear" w:color="auto" w:fill="FFFFFF"/>
        </w:rPr>
      </w:pPr>
      <w:r w:rsidRPr="000A0C74">
        <w:rPr>
          <w:rFonts w:ascii="Times New Roman" w:hAnsi="Times New Roman"/>
          <w:color w:val="000000"/>
          <w:sz w:val="24"/>
          <w:szCs w:val="24"/>
          <w:shd w:val="clear" w:color="auto" w:fill="FFFFFF"/>
        </w:rPr>
        <w:t>Примечание:</w:t>
      </w:r>
    </w:p>
    <w:p w:rsidR="00757A19" w:rsidRDefault="007D5C40" w:rsidP="007D5C40">
      <w:pPr>
        <w:sectPr w:rsidR="00757A19" w:rsidSect="00A93FFA">
          <w:pgSz w:w="16838" w:h="11906" w:orient="landscape"/>
          <w:pgMar w:top="1134" w:right="1134" w:bottom="851" w:left="1134" w:header="709" w:footer="709" w:gutter="0"/>
          <w:cols w:space="708"/>
          <w:titlePg/>
          <w:docGrid w:linePitch="360"/>
        </w:sectPr>
      </w:pPr>
      <w:r w:rsidRPr="000A0C74">
        <w:rPr>
          <w:rFonts w:ascii="Times New Roman" w:hAnsi="Times New Roman"/>
          <w:color w:val="000000"/>
          <w:sz w:val="24"/>
          <w:szCs w:val="24"/>
          <w:shd w:val="clear" w:color="auto" w:fill="FFFFFF"/>
        </w:rPr>
        <w:t>Размер включаемой в состав платы за технологическое присоединение энергопринимающих устройств максимальной мощностью не более чем 150 кВт инвестиционной составляющей на покрытие расходов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составляет 50 процентов величины указанных расходов.</w:t>
      </w:r>
    </w:p>
    <w:tbl>
      <w:tblPr>
        <w:tblW w:w="5036" w:type="pct"/>
        <w:tblInd w:w="-176" w:type="dxa"/>
        <w:tblLook w:val="04A0" w:firstRow="1" w:lastRow="0" w:firstColumn="1" w:lastColumn="0" w:noHBand="0" w:noVBand="1"/>
      </w:tblPr>
      <w:tblGrid>
        <w:gridCol w:w="4253"/>
        <w:gridCol w:w="5815"/>
      </w:tblGrid>
      <w:tr w:rsidR="000058EC" w:rsidRPr="00FC7CD2" w:rsidTr="000058EC">
        <w:trPr>
          <w:trHeight w:val="1553"/>
        </w:trPr>
        <w:tc>
          <w:tcPr>
            <w:tcW w:w="2112" w:type="pct"/>
            <w:tcBorders>
              <w:top w:val="nil"/>
              <w:left w:val="nil"/>
              <w:bottom w:val="nil"/>
              <w:right w:val="nil"/>
            </w:tcBorders>
            <w:shd w:val="clear" w:color="auto" w:fill="auto"/>
            <w:noWrap/>
            <w:vAlign w:val="center"/>
            <w:hideMark/>
          </w:tcPr>
          <w:p w:rsidR="000058EC" w:rsidRPr="00FC7CD2" w:rsidRDefault="000058EC" w:rsidP="004A516C">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0"/>
                <w:lang w:eastAsia="ru-RU"/>
              </w:rPr>
              <w:lastRenderedPageBreak/>
              <w:br w:type="page"/>
            </w:r>
            <w:r>
              <w:rPr>
                <w:rFonts w:ascii="Times New Roman" w:eastAsia="Times New Roman" w:hAnsi="Times New Roman"/>
                <w:sz w:val="28"/>
                <w:szCs w:val="20"/>
                <w:lang w:eastAsia="ru-RU"/>
              </w:rPr>
              <w:br w:type="page"/>
            </w:r>
          </w:p>
        </w:tc>
        <w:tc>
          <w:tcPr>
            <w:tcW w:w="2888" w:type="pct"/>
            <w:tcBorders>
              <w:top w:val="nil"/>
              <w:left w:val="nil"/>
              <w:bottom w:val="nil"/>
              <w:right w:val="nil"/>
            </w:tcBorders>
            <w:shd w:val="clear" w:color="auto" w:fill="auto"/>
            <w:vAlign w:val="center"/>
            <w:hideMark/>
          </w:tcPr>
          <w:p w:rsidR="000058EC" w:rsidRDefault="000058EC" w:rsidP="004A516C">
            <w:pPr>
              <w:spacing w:after="0" w:line="240" w:lineRule="auto"/>
              <w:jc w:val="center"/>
              <w:rPr>
                <w:rFonts w:ascii="Times New Roman" w:eastAsia="Times New Roman" w:hAnsi="Times New Roman"/>
                <w:sz w:val="28"/>
                <w:szCs w:val="28"/>
                <w:lang w:eastAsia="ru-RU"/>
              </w:rPr>
            </w:pPr>
            <w:r w:rsidRPr="00FC7CD2">
              <w:rPr>
                <w:rFonts w:ascii="Times New Roman" w:eastAsia="Times New Roman" w:hAnsi="Times New Roman"/>
                <w:sz w:val="28"/>
                <w:szCs w:val="28"/>
                <w:lang w:eastAsia="ru-RU"/>
              </w:rPr>
              <w:t>П</w:t>
            </w:r>
            <w:r>
              <w:rPr>
                <w:rFonts w:ascii="Times New Roman" w:eastAsia="Times New Roman" w:hAnsi="Times New Roman"/>
                <w:sz w:val="28"/>
                <w:szCs w:val="28"/>
                <w:lang w:eastAsia="ru-RU"/>
              </w:rPr>
              <w:t>риложение</w:t>
            </w:r>
            <w:r w:rsidRPr="00FC7CD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w:t>
            </w:r>
          </w:p>
          <w:p w:rsidR="000058EC" w:rsidRDefault="000058EC" w:rsidP="004A516C">
            <w:pPr>
              <w:pStyle w:val="FR1"/>
              <w:ind w:left="0"/>
              <w:rPr>
                <w:szCs w:val="28"/>
              </w:rPr>
            </w:pPr>
            <w:r w:rsidRPr="00FC7CD2">
              <w:rPr>
                <w:szCs w:val="28"/>
              </w:rPr>
              <w:t>к постановлению</w:t>
            </w:r>
            <w:r>
              <w:rPr>
                <w:szCs w:val="28"/>
              </w:rPr>
              <w:t xml:space="preserve"> </w:t>
            </w:r>
            <w:r w:rsidRPr="00FC7CD2">
              <w:rPr>
                <w:szCs w:val="28"/>
              </w:rPr>
              <w:t>региональной энергетической комиссии</w:t>
            </w:r>
            <w:r>
              <w:rPr>
                <w:szCs w:val="28"/>
              </w:rPr>
              <w:t xml:space="preserve"> </w:t>
            </w:r>
          </w:p>
          <w:p w:rsidR="000058EC" w:rsidRDefault="000058EC" w:rsidP="004A516C">
            <w:pPr>
              <w:pStyle w:val="FR1"/>
              <w:ind w:left="0"/>
              <w:rPr>
                <w:szCs w:val="28"/>
              </w:rPr>
            </w:pPr>
            <w:r w:rsidRPr="00FC7CD2">
              <w:rPr>
                <w:szCs w:val="28"/>
              </w:rPr>
              <w:t>Кемеровской области</w:t>
            </w:r>
          </w:p>
          <w:p w:rsidR="000058EC" w:rsidRPr="00FC7CD2" w:rsidRDefault="000058EC" w:rsidP="00161F46">
            <w:pPr>
              <w:pStyle w:val="FR1"/>
              <w:ind w:left="0"/>
              <w:rPr>
                <w:szCs w:val="28"/>
              </w:rPr>
            </w:pPr>
            <w:r>
              <w:rPr>
                <w:szCs w:val="28"/>
              </w:rPr>
              <w:t xml:space="preserve">от </w:t>
            </w:r>
            <w:r w:rsidRPr="00FC7CD2">
              <w:rPr>
                <w:szCs w:val="28"/>
              </w:rPr>
              <w:t>«</w:t>
            </w:r>
            <w:r w:rsidR="00161F46">
              <w:rPr>
                <w:szCs w:val="28"/>
              </w:rPr>
              <w:t>31</w:t>
            </w:r>
            <w:r w:rsidRPr="00FC7CD2">
              <w:rPr>
                <w:szCs w:val="28"/>
              </w:rPr>
              <w:t xml:space="preserve">» </w:t>
            </w:r>
            <w:r>
              <w:rPr>
                <w:szCs w:val="28"/>
              </w:rPr>
              <w:t>декабря</w:t>
            </w:r>
            <w:r w:rsidRPr="00FC7CD2">
              <w:rPr>
                <w:szCs w:val="28"/>
              </w:rPr>
              <w:t xml:space="preserve"> 2015 года №</w:t>
            </w:r>
            <w:r w:rsidR="00161F46">
              <w:rPr>
                <w:szCs w:val="28"/>
              </w:rPr>
              <w:t xml:space="preserve"> 1031</w:t>
            </w:r>
          </w:p>
        </w:tc>
      </w:tr>
    </w:tbl>
    <w:p w:rsidR="000058EC" w:rsidRDefault="000058EC" w:rsidP="00F45F22">
      <w:pPr>
        <w:spacing w:after="0" w:line="240" w:lineRule="auto"/>
        <w:jc w:val="right"/>
        <w:rPr>
          <w:rFonts w:ascii="Times New Roman" w:hAnsi="Times New Roman"/>
        </w:rPr>
      </w:pPr>
    </w:p>
    <w:p w:rsidR="00F45F22" w:rsidRDefault="00F45F22" w:rsidP="00F45F22">
      <w:pPr>
        <w:spacing w:after="0" w:line="240" w:lineRule="auto"/>
        <w:jc w:val="right"/>
        <w:rPr>
          <w:rFonts w:ascii="Times New Roman" w:hAnsi="Times New Roman"/>
        </w:rPr>
      </w:pPr>
    </w:p>
    <w:p w:rsidR="00256BD4" w:rsidRDefault="00F45F22" w:rsidP="00256BD4">
      <w:pPr>
        <w:autoSpaceDE w:val="0"/>
        <w:autoSpaceDN w:val="0"/>
        <w:adjustRightInd w:val="0"/>
        <w:spacing w:after="0" w:line="240" w:lineRule="auto"/>
        <w:jc w:val="center"/>
        <w:rPr>
          <w:rFonts w:ascii="Times New Roman" w:eastAsia="Times New Roman" w:hAnsi="Times New Roman"/>
          <w:b/>
          <w:bCs/>
          <w:sz w:val="28"/>
          <w:szCs w:val="28"/>
          <w:lang w:eastAsia="ru-RU"/>
        </w:rPr>
      </w:pPr>
      <w:r w:rsidRPr="003E22BD">
        <w:rPr>
          <w:rFonts w:ascii="Times New Roman" w:hAnsi="Times New Roman"/>
          <w:b/>
          <w:sz w:val="28"/>
          <w:szCs w:val="28"/>
        </w:rPr>
        <w:t>Формулы платы за технологическое присоединение к электрическим</w:t>
      </w:r>
      <w:r w:rsidR="000F6F1E">
        <w:rPr>
          <w:rFonts w:ascii="Times New Roman" w:hAnsi="Times New Roman"/>
          <w:b/>
          <w:sz w:val="28"/>
          <w:szCs w:val="28"/>
        </w:rPr>
        <w:t xml:space="preserve"> </w:t>
      </w:r>
      <w:r w:rsidRPr="003E22BD">
        <w:rPr>
          <w:rFonts w:ascii="Times New Roman" w:hAnsi="Times New Roman"/>
          <w:b/>
          <w:sz w:val="28"/>
          <w:szCs w:val="28"/>
        </w:rPr>
        <w:t>сетям</w:t>
      </w:r>
      <w:r w:rsidR="0071149D">
        <w:rPr>
          <w:rFonts w:ascii="Times New Roman" w:hAnsi="Times New Roman"/>
          <w:b/>
          <w:sz w:val="28"/>
          <w:szCs w:val="28"/>
        </w:rPr>
        <w:t xml:space="preserve"> </w:t>
      </w:r>
      <w:r w:rsidRPr="003E22BD">
        <w:rPr>
          <w:rFonts w:ascii="Times New Roman" w:hAnsi="Times New Roman"/>
          <w:b/>
          <w:sz w:val="28"/>
          <w:szCs w:val="28"/>
        </w:rPr>
        <w:t>ООО «</w:t>
      </w:r>
      <w:r w:rsidR="000E74CA">
        <w:rPr>
          <w:rFonts w:ascii="Times New Roman" w:hAnsi="Times New Roman"/>
          <w:b/>
          <w:sz w:val="28"/>
          <w:szCs w:val="28"/>
        </w:rPr>
        <w:t>Электросетьсервис</w:t>
      </w:r>
      <w:r w:rsidRPr="003E22BD">
        <w:rPr>
          <w:rFonts w:ascii="Times New Roman" w:hAnsi="Times New Roman"/>
          <w:b/>
          <w:sz w:val="28"/>
          <w:szCs w:val="28"/>
        </w:rPr>
        <w:t>»</w:t>
      </w:r>
      <w:r w:rsidR="002D4C40">
        <w:rPr>
          <w:rFonts w:ascii="Times New Roman" w:hAnsi="Times New Roman"/>
          <w:b/>
          <w:sz w:val="28"/>
          <w:szCs w:val="28"/>
        </w:rPr>
        <w:t xml:space="preserve"> </w:t>
      </w:r>
      <w:r w:rsidR="00256BD4">
        <w:rPr>
          <w:rFonts w:ascii="Times New Roman" w:hAnsi="Times New Roman"/>
          <w:b/>
          <w:sz w:val="28"/>
          <w:szCs w:val="28"/>
        </w:rPr>
        <w:t>по Кемеровской области</w:t>
      </w:r>
    </w:p>
    <w:p w:rsidR="00256BD4" w:rsidRPr="003E22BD" w:rsidRDefault="00256BD4" w:rsidP="00256BD4">
      <w:pPr>
        <w:autoSpaceDE w:val="0"/>
        <w:autoSpaceDN w:val="0"/>
        <w:adjustRightInd w:val="0"/>
        <w:spacing w:after="0" w:line="240" w:lineRule="auto"/>
        <w:jc w:val="center"/>
        <w:rPr>
          <w:rFonts w:ascii="Times New Roman" w:hAnsi="Times New Roman"/>
          <w:b/>
          <w:sz w:val="28"/>
          <w:szCs w:val="28"/>
        </w:rPr>
      </w:pPr>
      <w:r w:rsidRPr="00900EAC">
        <w:rPr>
          <w:rFonts w:ascii="Times New Roman" w:eastAsia="Times New Roman" w:hAnsi="Times New Roman"/>
          <w:b/>
          <w:bCs/>
          <w:sz w:val="28"/>
          <w:szCs w:val="28"/>
          <w:lang w:eastAsia="ru-RU"/>
        </w:rPr>
        <w:t xml:space="preserve">на </w:t>
      </w:r>
      <w:r>
        <w:rPr>
          <w:rFonts w:ascii="Times New Roman" w:eastAsia="Times New Roman" w:hAnsi="Times New Roman"/>
          <w:b/>
          <w:bCs/>
          <w:sz w:val="28"/>
          <w:szCs w:val="28"/>
          <w:lang w:eastAsia="ru-RU"/>
        </w:rPr>
        <w:t xml:space="preserve">период </w:t>
      </w:r>
      <w:r w:rsidRPr="00F436B1">
        <w:rPr>
          <w:rFonts w:ascii="Times New Roman" w:hAnsi="Times New Roman"/>
          <w:b/>
          <w:sz w:val="28"/>
          <w:szCs w:val="28"/>
        </w:rPr>
        <w:t>с 01.01.2016 по 31.12.2016</w:t>
      </w:r>
    </w:p>
    <w:p w:rsidR="00F45F22" w:rsidRDefault="00F45F22" w:rsidP="00256BD4">
      <w:pPr>
        <w:autoSpaceDE w:val="0"/>
        <w:autoSpaceDN w:val="0"/>
        <w:adjustRightInd w:val="0"/>
        <w:spacing w:after="0" w:line="240" w:lineRule="auto"/>
        <w:jc w:val="center"/>
        <w:rPr>
          <w:rFonts w:ascii="Times New Roman" w:hAnsi="Times New Roman"/>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Плата за технологическое присоединение определяется следующим образом:</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1) если отсутствует необходимость реализации мероприятий «последней мили»:</w:t>
      </w:r>
    </w:p>
    <w:p w:rsidR="00F45F22" w:rsidRPr="000058EC" w:rsidRDefault="00B05AAE"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2) если при технологическом присоединении Заявителя согласно техническим условиям предусматривается мероприятие «последней мили» по прокладке воздушных и кабельных линий:</w:t>
      </w:r>
    </w:p>
    <w:p w:rsidR="00F45F22" w:rsidRPr="000058EC" w:rsidRDefault="00B05AAE"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2,3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 xml:space="preserve">3) если при технологическом присоединении Заявителя согласно техническим условиям предусматриваются мероприятия «последней мили» по строительству комплектных трансформаторных подстанций (КТП), распределительных трансформаторных подстанций (РТП) с уровнем напряжения до 35 кВ и на строительство центров питания, подстанций уровнем </w:t>
      </w:r>
      <w:r w:rsidR="000058EC">
        <w:rPr>
          <w:rFonts w:ascii="Times New Roman" w:hAnsi="Times New Roman"/>
          <w:sz w:val="28"/>
          <w:szCs w:val="28"/>
        </w:rPr>
        <w:t xml:space="preserve">     </w:t>
      </w:r>
      <w:r w:rsidRPr="000058EC">
        <w:rPr>
          <w:rFonts w:ascii="Times New Roman" w:hAnsi="Times New Roman"/>
          <w:sz w:val="28"/>
          <w:szCs w:val="28"/>
        </w:rPr>
        <w:t>напряжения 35 кВ и выше (ПС):</w:t>
      </w:r>
    </w:p>
    <w:p w:rsidR="00F45F22" w:rsidRPr="000058EC" w:rsidRDefault="00B05AAE" w:rsidP="00F45F22">
      <w:pPr>
        <w:autoSpaceDE w:val="0"/>
        <w:autoSpaceDN w:val="0"/>
        <w:adjustRightInd w:val="0"/>
        <w:spacing w:after="0" w:line="240" w:lineRule="auto"/>
        <w:ind w:firstLine="540"/>
        <w:jc w:val="center"/>
        <w:rPr>
          <w:rFonts w:ascii="Times New Roman" w:hAnsi="Times New Roman"/>
          <w:sz w:val="28"/>
          <w:szCs w:val="28"/>
        </w:rPr>
      </w:pPr>
      <m:oMath>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P</m:t>
            </m:r>
          </m:e>
          <m:sub>
            <m:r>
              <w:rPr>
                <w:rFonts w:ascii="Cambria Math" w:hAnsi="Cambria Math"/>
                <w:sz w:val="28"/>
                <w:szCs w:val="28"/>
              </w:rPr>
              <m:t>1</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2</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2</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3</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L</m:t>
            </m:r>
          </m:e>
          <m:sub>
            <m:r>
              <w:rPr>
                <w:rFonts w:ascii="Cambria Math" w:hAnsi="Cambria Math"/>
                <w:sz w:val="28"/>
                <w:szCs w:val="28"/>
              </w:rPr>
              <m:t>3</m:t>
            </m:r>
            <m:r>
              <w:rPr>
                <w:rFonts w:ascii="Cambria Math" w:hAnsi="Cambria Math"/>
                <w:sz w:val="28"/>
                <w:szCs w:val="28"/>
                <w:lang w:val="en-US"/>
              </w:rPr>
              <m:t>i</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C</m:t>
            </m:r>
          </m:e>
          <m:sub>
            <m:r>
              <w:rPr>
                <w:rFonts w:ascii="Cambria Math" w:hAnsi="Cambria Math"/>
                <w:sz w:val="28"/>
                <w:szCs w:val="28"/>
              </w:rPr>
              <m:t>4</m:t>
            </m:r>
          </m:sub>
        </m:sSub>
        <m:r>
          <w:rPr>
            <w:rFonts w:ascii="Cambria Math" w:hAnsi="Cambria Math"/>
            <w:sz w:val="28"/>
            <w:szCs w:val="28"/>
          </w:rPr>
          <m:t>∙</m:t>
        </m:r>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i</m:t>
            </m:r>
          </m:sub>
        </m:sSub>
      </m:oMath>
      <w:r w:rsidR="00F45F22" w:rsidRPr="000058EC">
        <w:rPr>
          <w:rFonts w:ascii="Times New Roman" w:eastAsiaTheme="minorEastAsia" w:hAnsi="Times New Roman"/>
          <w:sz w:val="28"/>
          <w:szCs w:val="28"/>
        </w:rPr>
        <w:t>.</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sz w:val="28"/>
          <w:szCs w:val="28"/>
        </w:rPr>
        <w:t>Где:</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1</w:t>
      </w:r>
      <w:r w:rsidRPr="000058EC">
        <w:rPr>
          <w:rFonts w:ascii="Times New Roman" w:hAnsi="Times New Roman"/>
          <w:i/>
          <w:sz w:val="28"/>
          <w:szCs w:val="28"/>
        </w:rPr>
        <w:t xml:space="preserve"> </w:t>
      </w:r>
      <w:r w:rsidRPr="000058EC">
        <w:rPr>
          <w:rFonts w:ascii="Times New Roman" w:hAnsi="Times New Roman"/>
          <w:sz w:val="28"/>
          <w:szCs w:val="28"/>
        </w:rPr>
        <w:t>– стандартизированная тарифная ставка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организациям и иным лицам, по мероприятиям, указанным в пункте 16 Методических указаний (кроме подпунктов «б» и «в»), в расчете на 1 кВт максимальной мощности.</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2</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воздушных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3</w:t>
      </w:r>
      <w:r w:rsidRPr="000058EC">
        <w:rPr>
          <w:rFonts w:ascii="Times New Roman" w:hAnsi="Times New Roman"/>
          <w:sz w:val="28"/>
          <w:szCs w:val="28"/>
        </w:rPr>
        <w:t xml:space="preserve"> – стандартизированная </w:t>
      </w:r>
      <w:r w:rsidRPr="000058EC">
        <w:rPr>
          <w:rFonts w:ascii="Times New Roman" w:hAnsi="Times New Roman"/>
          <w:iCs/>
          <w:sz w:val="28"/>
          <w:szCs w:val="28"/>
        </w:rPr>
        <w:t>тарифная ставка на покрытие расходов сетевой организации на строительство кабельных линий электропередачи в расчете на 1 км линий.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rPr>
        <w:t>С</w:t>
      </w:r>
      <w:r w:rsidRPr="000058EC">
        <w:rPr>
          <w:rFonts w:ascii="Times New Roman" w:hAnsi="Times New Roman"/>
          <w:i/>
          <w:sz w:val="28"/>
          <w:szCs w:val="28"/>
          <w:vertAlign w:val="subscript"/>
        </w:rPr>
        <w:t>4</w:t>
      </w:r>
      <w:r w:rsidRPr="000058EC">
        <w:rPr>
          <w:rFonts w:ascii="Times New Roman" w:hAnsi="Times New Roman"/>
          <w:sz w:val="28"/>
          <w:szCs w:val="28"/>
        </w:rPr>
        <w:t xml:space="preserve"> – стандартизированная тарифная ставка на покрытие расходов сетевой организации на строительство подстанций.</w:t>
      </w:r>
    </w:p>
    <w:p w:rsidR="00F45F22" w:rsidRPr="000058EC" w:rsidRDefault="00F45F22" w:rsidP="00F45F22">
      <w:pPr>
        <w:autoSpaceDE w:val="0"/>
        <w:autoSpaceDN w:val="0"/>
        <w:adjustRightInd w:val="0"/>
        <w:spacing w:after="0" w:line="240" w:lineRule="auto"/>
        <w:ind w:firstLine="540"/>
        <w:jc w:val="both"/>
        <w:rPr>
          <w:rFonts w:ascii="Times New Roman" w:hAnsi="Times New Roman"/>
          <w:sz w:val="28"/>
          <w:szCs w:val="28"/>
        </w:rPr>
      </w:pPr>
      <w:r w:rsidRPr="000058EC">
        <w:rPr>
          <w:rFonts w:ascii="Times New Roman" w:hAnsi="Times New Roman"/>
          <w:i/>
          <w:sz w:val="28"/>
          <w:szCs w:val="28"/>
          <w:lang w:val="en-US"/>
        </w:rPr>
        <w:lastRenderedPageBreak/>
        <w:t>N</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объем максимальной мощности, указанный в заявке на технологическое присоединение Заявителем.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2</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воздушных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r w:rsidRPr="000058EC">
        <w:rPr>
          <w:rFonts w:ascii="Times New Roman" w:hAnsi="Times New Roman"/>
          <w:i/>
          <w:sz w:val="28"/>
          <w:szCs w:val="28"/>
          <w:lang w:val="en-US"/>
        </w:rPr>
        <w:t>L</w:t>
      </w:r>
      <w:r w:rsidRPr="000058EC">
        <w:rPr>
          <w:rFonts w:ascii="Times New Roman" w:hAnsi="Times New Roman"/>
          <w:i/>
          <w:sz w:val="28"/>
          <w:szCs w:val="28"/>
          <w:vertAlign w:val="subscript"/>
        </w:rPr>
        <w:t>3</w:t>
      </w:r>
      <w:r w:rsidRPr="000058EC">
        <w:rPr>
          <w:rFonts w:ascii="Times New Roman" w:hAnsi="Times New Roman"/>
          <w:i/>
          <w:sz w:val="28"/>
          <w:szCs w:val="28"/>
          <w:vertAlign w:val="subscript"/>
          <w:lang w:val="en-US"/>
        </w:rPr>
        <w:t>i</w:t>
      </w:r>
      <w:r w:rsidRPr="000058EC">
        <w:rPr>
          <w:rFonts w:ascii="Times New Roman" w:hAnsi="Times New Roman"/>
          <w:sz w:val="28"/>
          <w:szCs w:val="28"/>
        </w:rPr>
        <w:t xml:space="preserve"> – </w:t>
      </w:r>
      <w:r w:rsidRPr="000058EC">
        <w:rPr>
          <w:rFonts w:ascii="Times New Roman" w:hAnsi="Times New Roman"/>
          <w:iCs/>
          <w:sz w:val="28"/>
          <w:szCs w:val="28"/>
        </w:rPr>
        <w:t>суммарная протяженность кабельных линий, строительство которых предусмотрено согласно выданных технических условий для технологического присоединения Заявителя (км).</w:t>
      </w:r>
    </w:p>
    <w:p w:rsidR="00F45F22" w:rsidRPr="000058EC" w:rsidRDefault="00F45F22" w:rsidP="00F45F22">
      <w:pPr>
        <w:autoSpaceDE w:val="0"/>
        <w:autoSpaceDN w:val="0"/>
        <w:adjustRightInd w:val="0"/>
        <w:spacing w:after="0" w:line="240" w:lineRule="auto"/>
        <w:ind w:firstLine="540"/>
        <w:jc w:val="both"/>
        <w:rPr>
          <w:rFonts w:ascii="Times New Roman" w:hAnsi="Times New Roman"/>
          <w:iCs/>
          <w:sz w:val="28"/>
          <w:szCs w:val="28"/>
        </w:rPr>
      </w:pPr>
    </w:p>
    <w:p w:rsidR="00F45F22" w:rsidRPr="00AE1586" w:rsidRDefault="00F45F22" w:rsidP="00F45F22">
      <w:pPr>
        <w:autoSpaceDE w:val="0"/>
        <w:autoSpaceDN w:val="0"/>
        <w:adjustRightInd w:val="0"/>
        <w:spacing w:after="0" w:line="240" w:lineRule="auto"/>
        <w:ind w:firstLine="540"/>
        <w:jc w:val="both"/>
        <w:rPr>
          <w:rFonts w:ascii="Times New Roman" w:hAnsi="Times New Roman"/>
          <w:sz w:val="28"/>
          <w:szCs w:val="28"/>
        </w:rPr>
      </w:pPr>
      <w:r w:rsidRPr="00AE1586">
        <w:rPr>
          <w:rFonts w:ascii="Times New Roman" w:hAnsi="Times New Roman"/>
          <w:sz w:val="28"/>
          <w:szCs w:val="28"/>
        </w:rPr>
        <w:t>Примечание:</w:t>
      </w:r>
    </w:p>
    <w:p w:rsidR="008001A0" w:rsidRDefault="00256BD4" w:rsidP="00F45F2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Р</w:t>
      </w:r>
      <w:r w:rsidR="00F45F22" w:rsidRPr="00AE1586">
        <w:rPr>
          <w:rFonts w:ascii="Times New Roman" w:hAnsi="Times New Roman"/>
          <w:sz w:val="28"/>
          <w:szCs w:val="28"/>
        </w:rPr>
        <w:t xml:space="preserve">ассчитанная плата по пунктам «2» и «3» в ценах 2001 года приводится к ценам регулируемого периода с применением индекса изменения сметной стоимости (Zизм.ст) по строительно-монтажным работам для субъекта Российской Федерации, в котором располагаются существующие узловые подстанции, к которым предполагается технологическое присоединение Устройств, на квартал, предшествующий кварталу, в котором утверждается плата за технологическое присоединение, к федеральным единичным </w:t>
      </w:r>
      <w:r w:rsidR="000058EC" w:rsidRPr="00AE1586">
        <w:rPr>
          <w:rFonts w:ascii="Times New Roman" w:hAnsi="Times New Roman"/>
          <w:sz w:val="28"/>
          <w:szCs w:val="28"/>
        </w:rPr>
        <w:t xml:space="preserve">  </w:t>
      </w:r>
      <w:r w:rsidR="00F45F22" w:rsidRPr="00AE1586">
        <w:rPr>
          <w:rFonts w:ascii="Times New Roman" w:hAnsi="Times New Roman"/>
          <w:sz w:val="28"/>
          <w:szCs w:val="28"/>
        </w:rPr>
        <w:t>расценкам 2001 года, рекомендуемого Министерством регионального развития Российской Федерации в рамках реализации полномочий в области сметного нормирования и ценообразования в сфере градостроительной деятельности.</w:t>
      </w:r>
    </w:p>
    <w:sectPr w:rsidR="008001A0" w:rsidSect="000058EC">
      <w:pgSz w:w="11906" w:h="16838"/>
      <w:pgMar w:top="709"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18FA" w:rsidRDefault="006618FA" w:rsidP="00A93FFA">
      <w:pPr>
        <w:spacing w:after="0" w:line="240" w:lineRule="auto"/>
      </w:pPr>
      <w:r>
        <w:separator/>
      </w:r>
    </w:p>
  </w:endnote>
  <w:endnote w:type="continuationSeparator" w:id="0">
    <w:p w:rsidR="006618FA" w:rsidRDefault="006618FA" w:rsidP="00A9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18FA" w:rsidRDefault="006618FA" w:rsidP="00A93FFA">
      <w:pPr>
        <w:spacing w:after="0" w:line="240" w:lineRule="auto"/>
      </w:pPr>
      <w:r>
        <w:separator/>
      </w:r>
    </w:p>
  </w:footnote>
  <w:footnote w:type="continuationSeparator" w:id="0">
    <w:p w:rsidR="006618FA" w:rsidRDefault="006618FA" w:rsidP="00A93F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3010595"/>
      <w:docPartObj>
        <w:docPartGallery w:val="Page Numbers (Top of Page)"/>
        <w:docPartUnique/>
      </w:docPartObj>
    </w:sdtPr>
    <w:sdtEndPr>
      <w:rPr>
        <w:rFonts w:ascii="Times New Roman" w:hAnsi="Times New Roman"/>
      </w:rPr>
    </w:sdtEndPr>
    <w:sdtContent>
      <w:p w:rsidR="00A93FFA" w:rsidRPr="00A93FFA" w:rsidRDefault="00A93FFA">
        <w:pPr>
          <w:pStyle w:val="a6"/>
          <w:jc w:val="center"/>
          <w:rPr>
            <w:rFonts w:ascii="Times New Roman" w:hAnsi="Times New Roman"/>
          </w:rPr>
        </w:pPr>
        <w:r w:rsidRPr="00A93FFA">
          <w:rPr>
            <w:rFonts w:ascii="Times New Roman" w:hAnsi="Times New Roman"/>
          </w:rPr>
          <w:fldChar w:fldCharType="begin"/>
        </w:r>
        <w:r w:rsidRPr="00A93FFA">
          <w:rPr>
            <w:rFonts w:ascii="Times New Roman" w:hAnsi="Times New Roman"/>
          </w:rPr>
          <w:instrText>PAGE   \* MERGEFORMAT</w:instrText>
        </w:r>
        <w:r w:rsidRPr="00A93FFA">
          <w:rPr>
            <w:rFonts w:ascii="Times New Roman" w:hAnsi="Times New Roman"/>
          </w:rPr>
          <w:fldChar w:fldCharType="separate"/>
        </w:r>
        <w:r w:rsidR="00B05AAE">
          <w:rPr>
            <w:rFonts w:ascii="Times New Roman" w:hAnsi="Times New Roman"/>
            <w:noProof/>
          </w:rPr>
          <w:t>4</w:t>
        </w:r>
        <w:r w:rsidRPr="00A93FFA">
          <w:rPr>
            <w:rFonts w:ascii="Times New Roman" w:hAnsi="Times New Roman"/>
          </w:rPr>
          <w:fldChar w:fldCharType="end"/>
        </w:r>
      </w:p>
    </w:sdtContent>
  </w:sdt>
  <w:p w:rsidR="00A93FFA" w:rsidRDefault="00A93FFA">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907514"/>
      <w:docPartObj>
        <w:docPartGallery w:val="Page Numbers (Top of Page)"/>
        <w:docPartUnique/>
      </w:docPartObj>
    </w:sdtPr>
    <w:sdtEndPr/>
    <w:sdtContent>
      <w:p w:rsidR="00A93FFA" w:rsidRDefault="00A93FFA">
        <w:pPr>
          <w:pStyle w:val="a6"/>
          <w:jc w:val="center"/>
        </w:pPr>
        <w:r>
          <w:fldChar w:fldCharType="begin"/>
        </w:r>
        <w:r>
          <w:instrText>PAGE   \* MERGEFORMAT</w:instrText>
        </w:r>
        <w:r>
          <w:fldChar w:fldCharType="separate"/>
        </w:r>
        <w:r w:rsidR="00B05AAE">
          <w:rPr>
            <w:noProof/>
          </w:rPr>
          <w:t>1</w:t>
        </w:r>
        <w:r>
          <w:fldChar w:fldCharType="end"/>
        </w:r>
      </w:p>
    </w:sdtContent>
  </w:sdt>
  <w:p w:rsidR="00A93FFA" w:rsidRDefault="00A93FFA">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A4CC5"/>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B507109"/>
    <w:multiLevelType w:val="hybridMultilevel"/>
    <w:tmpl w:val="18CA752A"/>
    <w:lvl w:ilvl="0" w:tplc="AFBE9816">
      <w:start w:val="1"/>
      <w:numFmt w:val="decimal"/>
      <w:lvlText w:val="%1."/>
      <w:lvlJc w:val="left"/>
      <w:pPr>
        <w:ind w:left="1334" w:hanging="10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7FEF3ED2"/>
    <w:multiLevelType w:val="hybridMultilevel"/>
    <w:tmpl w:val="F03A8FFE"/>
    <w:lvl w:ilvl="0" w:tplc="E546525C">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FFA"/>
    <w:rsid w:val="000058EC"/>
    <w:rsid w:val="00031F6C"/>
    <w:rsid w:val="00053BF8"/>
    <w:rsid w:val="000E74CA"/>
    <w:rsid w:val="000F6F1E"/>
    <w:rsid w:val="001172CF"/>
    <w:rsid w:val="00161F46"/>
    <w:rsid w:val="00186356"/>
    <w:rsid w:val="001A0A55"/>
    <w:rsid w:val="001D76EA"/>
    <w:rsid w:val="00217CDB"/>
    <w:rsid w:val="00253812"/>
    <w:rsid w:val="00256BD4"/>
    <w:rsid w:val="002572EC"/>
    <w:rsid w:val="00267B24"/>
    <w:rsid w:val="002A6A6A"/>
    <w:rsid w:val="002B0727"/>
    <w:rsid w:val="002C2957"/>
    <w:rsid w:val="002D4C40"/>
    <w:rsid w:val="002E0FA2"/>
    <w:rsid w:val="00345306"/>
    <w:rsid w:val="0036478A"/>
    <w:rsid w:val="003676DD"/>
    <w:rsid w:val="003956BA"/>
    <w:rsid w:val="003E22BD"/>
    <w:rsid w:val="00401C9C"/>
    <w:rsid w:val="0040412C"/>
    <w:rsid w:val="004765F9"/>
    <w:rsid w:val="004D1B31"/>
    <w:rsid w:val="004F0857"/>
    <w:rsid w:val="00511232"/>
    <w:rsid w:val="005C3A6A"/>
    <w:rsid w:val="005D1B1C"/>
    <w:rsid w:val="005E7A60"/>
    <w:rsid w:val="00632978"/>
    <w:rsid w:val="006618FA"/>
    <w:rsid w:val="0071149D"/>
    <w:rsid w:val="00757A19"/>
    <w:rsid w:val="00772368"/>
    <w:rsid w:val="007A7A62"/>
    <w:rsid w:val="007B4E37"/>
    <w:rsid w:val="007C342F"/>
    <w:rsid w:val="007D5C40"/>
    <w:rsid w:val="008001A0"/>
    <w:rsid w:val="00833B15"/>
    <w:rsid w:val="008B038B"/>
    <w:rsid w:val="008B5823"/>
    <w:rsid w:val="00900EAC"/>
    <w:rsid w:val="00A06084"/>
    <w:rsid w:val="00A137CA"/>
    <w:rsid w:val="00A67568"/>
    <w:rsid w:val="00A803EB"/>
    <w:rsid w:val="00A8790F"/>
    <w:rsid w:val="00A93FFA"/>
    <w:rsid w:val="00AE1586"/>
    <w:rsid w:val="00AF540D"/>
    <w:rsid w:val="00B05AAE"/>
    <w:rsid w:val="00B13AD3"/>
    <w:rsid w:val="00B37359"/>
    <w:rsid w:val="00B41DD5"/>
    <w:rsid w:val="00B84E5C"/>
    <w:rsid w:val="00C4172F"/>
    <w:rsid w:val="00C47071"/>
    <w:rsid w:val="00C7407D"/>
    <w:rsid w:val="00C969F7"/>
    <w:rsid w:val="00CD7C25"/>
    <w:rsid w:val="00D16B4A"/>
    <w:rsid w:val="00D5517C"/>
    <w:rsid w:val="00D83968"/>
    <w:rsid w:val="00D93152"/>
    <w:rsid w:val="00DA5128"/>
    <w:rsid w:val="00E017B9"/>
    <w:rsid w:val="00E25B50"/>
    <w:rsid w:val="00ED4B67"/>
    <w:rsid w:val="00F45F22"/>
    <w:rsid w:val="00F95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494F4-9829-4AF8-B0E9-A2AD0EE03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23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3FFA"/>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A93FF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93FFA"/>
    <w:rPr>
      <w:rFonts w:ascii="Tahoma" w:eastAsia="Calibri" w:hAnsi="Tahoma" w:cs="Tahoma"/>
      <w:sz w:val="16"/>
      <w:szCs w:val="16"/>
    </w:rPr>
  </w:style>
  <w:style w:type="paragraph" w:styleId="a6">
    <w:name w:val="header"/>
    <w:basedOn w:val="a"/>
    <w:link w:val="a7"/>
    <w:uiPriority w:val="99"/>
    <w:unhideWhenUsed/>
    <w:rsid w:val="00A93F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3FFA"/>
    <w:rPr>
      <w:rFonts w:ascii="Calibri" w:eastAsia="Calibri" w:hAnsi="Calibri" w:cs="Times New Roman"/>
    </w:rPr>
  </w:style>
  <w:style w:type="paragraph" w:styleId="a8">
    <w:name w:val="footer"/>
    <w:basedOn w:val="a"/>
    <w:link w:val="a9"/>
    <w:uiPriority w:val="99"/>
    <w:unhideWhenUsed/>
    <w:rsid w:val="00A93F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3FFA"/>
    <w:rPr>
      <w:rFonts w:ascii="Calibri" w:eastAsia="Calibri" w:hAnsi="Calibri" w:cs="Times New Roman"/>
    </w:rPr>
  </w:style>
  <w:style w:type="paragraph" w:customStyle="1" w:styleId="FR1">
    <w:name w:val="FR1"/>
    <w:rsid w:val="00A93FFA"/>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styleId="aa">
    <w:name w:val="List Paragraph"/>
    <w:basedOn w:val="a"/>
    <w:uiPriority w:val="34"/>
    <w:qFormat/>
    <w:rsid w:val="00C969F7"/>
    <w:pPr>
      <w:ind w:left="720"/>
      <w:contextualSpacing/>
    </w:pPr>
  </w:style>
  <w:style w:type="paragraph" w:customStyle="1" w:styleId="ConsPlusNormal">
    <w:name w:val="ConsPlusNormal"/>
    <w:rsid w:val="00267B24"/>
    <w:pPr>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80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F0735-0A98-4B63-9DFE-2467A2BE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1343</Words>
  <Characters>7656</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Седашкина</dc:creator>
  <cp:lastModifiedBy>Ксения Юхневич</cp:lastModifiedBy>
  <cp:revision>48</cp:revision>
  <cp:lastPrinted>2015-12-30T07:28:00Z</cp:lastPrinted>
  <dcterms:created xsi:type="dcterms:W3CDTF">2015-12-24T05:28:00Z</dcterms:created>
  <dcterms:modified xsi:type="dcterms:W3CDTF">2016-01-08T08:54:00Z</dcterms:modified>
</cp:coreProperties>
</file>