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176" w:type="dxa"/>
        <w:tblLook w:val="04A0" w:firstRow="1" w:lastRow="0" w:firstColumn="1" w:lastColumn="0" w:noHBand="0" w:noVBand="1"/>
      </w:tblPr>
      <w:tblGrid>
        <w:gridCol w:w="636"/>
        <w:gridCol w:w="1481"/>
        <w:gridCol w:w="1320"/>
        <w:gridCol w:w="601"/>
        <w:gridCol w:w="3420"/>
        <w:gridCol w:w="1224"/>
        <w:gridCol w:w="1149"/>
        <w:gridCol w:w="470"/>
      </w:tblGrid>
      <w:tr w:rsidR="005D1B1C" w:rsidRPr="00FC7CD2" w:rsidTr="00D80BFB">
        <w:trPr>
          <w:trHeight w:val="1553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7F92A4D" wp14:editId="7CD8921A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-417195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07563F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07563F">
              <w:rPr>
                <w:szCs w:val="28"/>
              </w:rPr>
              <w:t xml:space="preserve"> 1026</w:t>
            </w:r>
          </w:p>
          <w:p w:rsidR="00C7407D" w:rsidRPr="00FC7CD2" w:rsidRDefault="00C7407D" w:rsidP="00E909FA">
            <w:pPr>
              <w:pStyle w:val="FR1"/>
              <w:ind w:left="0"/>
              <w:rPr>
                <w:szCs w:val="28"/>
              </w:rPr>
            </w:pPr>
          </w:p>
        </w:tc>
      </w:tr>
      <w:tr w:rsidR="00A93FFA" w:rsidRPr="009D5C94" w:rsidTr="00D80BFB">
        <w:trPr>
          <w:gridAfter w:val="1"/>
          <w:wAfter w:w="243" w:type="pct"/>
          <w:trHeight w:val="390"/>
        </w:trPr>
        <w:tc>
          <w:tcPr>
            <w:tcW w:w="475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1E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Стандартизированные тарифные ставки для расчета платы 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735041" w:rsidRDefault="00A93FFA" w:rsidP="0073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D203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ОЭСК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5F76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5041">
              <w:rPr>
                <w:rFonts w:ascii="Times New Roman" w:hAnsi="Times New Roman"/>
                <w:b/>
                <w:sz w:val="28"/>
                <w:szCs w:val="28"/>
              </w:rPr>
              <w:t>по Кемеровской области</w:t>
            </w:r>
            <w:r w:rsidR="007350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5041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7350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  <w:p w:rsidR="00A93FFA" w:rsidRPr="0036478A" w:rsidRDefault="00735041" w:rsidP="0073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36B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</w:tc>
      </w:tr>
      <w:tr w:rsidR="00A93FFA" w:rsidRPr="00FC7CD2" w:rsidTr="00D80BFB">
        <w:trPr>
          <w:gridAfter w:val="1"/>
          <w:wAfter w:w="243" w:type="pct"/>
          <w:trHeight w:val="390"/>
        </w:trPr>
        <w:tc>
          <w:tcPr>
            <w:tcW w:w="475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5D1B1C" w:rsidTr="00D80BFB">
        <w:trPr>
          <w:gridAfter w:val="1"/>
          <w:wAfter w:w="243" w:type="pct"/>
          <w:trHeight w:val="300"/>
        </w:trPr>
        <w:tc>
          <w:tcPr>
            <w:tcW w:w="47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FFA" w:rsidRPr="00735041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3504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5D1B1C" w:rsidRPr="004024E9" w:rsidTr="00D80BFB">
        <w:trPr>
          <w:gridAfter w:val="1"/>
          <w:wAfter w:w="243" w:type="pct"/>
          <w:trHeight w:val="351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5D1B1C" w:rsidRPr="004024E9" w:rsidTr="00D80BFB">
        <w:trPr>
          <w:gridAfter w:val="1"/>
          <w:wAfter w:w="243" w:type="pct"/>
          <w:trHeight w:val="539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93FFA" w:rsidRPr="004024E9" w:rsidTr="00D80BFB">
        <w:trPr>
          <w:gridAfter w:val="1"/>
          <w:wAfter w:w="243" w:type="pct"/>
          <w:trHeight w:val="1032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</w:t>
            </w:r>
            <w:r w:rsidR="000E74CA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/кВт)</w:t>
            </w:r>
            <w:r w:rsidR="00031F6C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ценах 2016 года</w:t>
            </w:r>
          </w:p>
        </w:tc>
      </w:tr>
      <w:tr w:rsidR="00D20380" w:rsidRPr="004024E9" w:rsidTr="00D80BFB">
        <w:trPr>
          <w:gridAfter w:val="1"/>
          <w:wAfter w:w="243" w:type="pct"/>
          <w:trHeight w:val="24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185,70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185,70</w:t>
            </w:r>
          </w:p>
        </w:tc>
      </w:tr>
      <w:tr w:rsidR="00D20380" w:rsidRPr="004024E9" w:rsidTr="00D80BFB">
        <w:trPr>
          <w:gridAfter w:val="1"/>
          <w:wAfter w:w="243" w:type="pct"/>
          <w:trHeight w:val="24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17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6,87</w:t>
            </w:r>
          </w:p>
        </w:tc>
      </w:tr>
      <w:tr w:rsidR="00D20380" w:rsidRPr="004024E9" w:rsidTr="00D80BFB">
        <w:trPr>
          <w:gridAfter w:val="1"/>
          <w:wAfter w:w="243" w:type="pct"/>
          <w:trHeight w:val="6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134,16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134,16</w:t>
            </w:r>
          </w:p>
        </w:tc>
      </w:tr>
      <w:tr w:rsidR="00D20380" w:rsidRPr="004024E9" w:rsidTr="00D80BFB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4,96</w:t>
            </w:r>
          </w:p>
        </w:tc>
      </w:tr>
      <w:tr w:rsidR="00D20380" w:rsidRPr="004024E9" w:rsidTr="00D80BFB">
        <w:trPr>
          <w:gridAfter w:val="1"/>
          <w:wAfter w:w="243" w:type="pct"/>
          <w:trHeight w:val="7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51,54</w:t>
            </w:r>
          </w:p>
        </w:tc>
      </w:tr>
      <w:tr w:rsidR="00D20380" w:rsidRPr="004024E9" w:rsidTr="00D80BFB">
        <w:trPr>
          <w:gridAfter w:val="1"/>
          <w:wAfter w:w="243" w:type="pct"/>
          <w:trHeight w:val="10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1,91</w:t>
            </w:r>
          </w:p>
        </w:tc>
      </w:tr>
      <w:tr w:rsidR="00D20380" w:rsidRPr="004024E9" w:rsidTr="00D80BFB">
        <w:trPr>
          <w:gridAfter w:val="1"/>
          <w:wAfter w:w="243" w:type="pct"/>
          <w:trHeight w:val="505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55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7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315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33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20380" w:rsidRPr="004024E9" w:rsidTr="00D80BFB">
        <w:trPr>
          <w:gridAfter w:val="1"/>
          <w:wAfter w:w="243" w:type="pct"/>
          <w:trHeight w:val="6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632978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D20380" w:rsidRDefault="00D20380" w:rsidP="00D20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03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7D5C40" w:rsidRDefault="007D5C40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0F26F7">
          <w:headerReference w:type="default" r:id="rId10"/>
          <w:headerReference w:type="first" r:id="rId11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07563F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07563F">
              <w:rPr>
                <w:szCs w:val="28"/>
              </w:rPr>
              <w:t xml:space="preserve"> 1026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F6C" w:rsidRDefault="00A93FFA" w:rsidP="00735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D203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ОЭСК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5F76FC">
              <w:rPr>
                <w:rFonts w:ascii="Times New Roman" w:hAnsi="Times New Roman"/>
                <w:b/>
                <w:sz w:val="28"/>
                <w:szCs w:val="28"/>
              </w:rPr>
              <w:t xml:space="preserve"> по Кемеровской области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5041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7350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период </w:t>
            </w:r>
            <w:r w:rsidR="00735041" w:rsidRPr="00F436B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  <w:p w:rsidR="00735041" w:rsidRPr="002E0FA2" w:rsidRDefault="00735041" w:rsidP="00735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D16B4A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11232"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C342F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7C342F">
        <w:trPr>
          <w:trHeight w:val="106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D1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D16B4A"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максимальной</w:t>
            </w: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мощности (кВт)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0E579F">
        <w:trPr>
          <w:trHeight w:val="9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Постоянная схема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Временная схема </w:t>
            </w:r>
          </w:p>
        </w:tc>
      </w:tr>
      <w:tr w:rsidR="00A93FFA" w:rsidRPr="004024E9" w:rsidTr="007C342F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20380" w:rsidRPr="004024E9" w:rsidTr="000E579F">
        <w:trPr>
          <w:trHeight w:val="53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21 062,97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134,16</w:t>
            </w:r>
          </w:p>
        </w:tc>
      </w:tr>
      <w:tr w:rsidR="00D20380" w:rsidRPr="004024E9" w:rsidTr="007C342F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20380" w:rsidRPr="004024E9" w:rsidTr="000E579F">
        <w:trPr>
          <w:trHeight w:val="56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80" w:rsidRPr="001172CF" w:rsidRDefault="00D20380" w:rsidP="00D20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7 020,66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1 415,00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0" w:rsidRPr="00FB59D4" w:rsidRDefault="00D20380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4,96</w:t>
            </w:r>
          </w:p>
        </w:tc>
      </w:tr>
      <w:tr w:rsidR="000E579F" w:rsidRPr="004024E9" w:rsidTr="007C342F">
        <w:trPr>
          <w:trHeight w:val="7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579F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59D4" w:rsidRPr="004024E9" w:rsidTr="00A513B3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8 092,24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51,54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51,54</w:t>
            </w:r>
          </w:p>
        </w:tc>
      </w:tr>
      <w:tr w:rsidR="00FB59D4" w:rsidRPr="004024E9" w:rsidTr="00A513B3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59D4" w:rsidRPr="004024E9" w:rsidTr="00A513B3">
        <w:trPr>
          <w:trHeight w:val="4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9D4" w:rsidRPr="001172CF" w:rsidRDefault="00FB59D4" w:rsidP="00FB5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2 697,41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1 415,00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9D4" w:rsidRPr="00FB59D4" w:rsidRDefault="00FB59D4" w:rsidP="00FB5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R="000E579F" w:rsidRPr="004024E9" w:rsidTr="000E579F">
        <w:trPr>
          <w:trHeight w:val="7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68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579F" w:rsidRPr="004024E9" w:rsidTr="000E579F">
        <w:trPr>
          <w:trHeight w:val="4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0E579F">
        <w:trPr>
          <w:trHeight w:val="45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E579F" w:rsidRPr="004024E9" w:rsidTr="008D38D8">
        <w:trPr>
          <w:trHeight w:val="5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E579F" w:rsidRPr="004024E9" w:rsidTr="000E579F">
        <w:trPr>
          <w:trHeight w:val="45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FB59D4" w:rsidRDefault="000E579F" w:rsidP="00FB59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D5C40" w:rsidRDefault="007D5C40" w:rsidP="007D5C4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7A19" w:rsidRDefault="00757A19" w:rsidP="007D5C40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>региональной 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07563F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07563F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07563F">
              <w:rPr>
                <w:szCs w:val="28"/>
              </w:rPr>
              <w:t xml:space="preserve"> 1026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Pr="003E22BD" w:rsidRDefault="00F45F22" w:rsidP="00735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ООО «</w:t>
      </w:r>
      <w:r w:rsidR="00FB59D4">
        <w:rPr>
          <w:rFonts w:ascii="Times New Roman" w:hAnsi="Times New Roman"/>
          <w:b/>
          <w:sz w:val="28"/>
          <w:szCs w:val="28"/>
        </w:rPr>
        <w:t>ОЭСК</w:t>
      </w:r>
      <w:r w:rsidRPr="003E22BD">
        <w:rPr>
          <w:rFonts w:ascii="Times New Roman" w:hAnsi="Times New Roman"/>
          <w:b/>
          <w:sz w:val="28"/>
          <w:szCs w:val="28"/>
        </w:rPr>
        <w:t xml:space="preserve">» </w:t>
      </w:r>
      <w:r w:rsidR="005F76FC">
        <w:rPr>
          <w:rFonts w:ascii="Times New Roman" w:hAnsi="Times New Roman"/>
          <w:b/>
          <w:sz w:val="28"/>
          <w:szCs w:val="28"/>
        </w:rPr>
        <w:t xml:space="preserve">по Кемеровской области </w:t>
      </w:r>
      <w:r w:rsidR="00735041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7350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период </w:t>
      </w:r>
      <w:r w:rsidR="00735041" w:rsidRPr="00F436B1">
        <w:rPr>
          <w:rFonts w:ascii="Times New Roman" w:hAnsi="Times New Roman"/>
          <w:b/>
          <w:sz w:val="28"/>
          <w:szCs w:val="28"/>
        </w:rPr>
        <w:t>с 01.01.2016 по 31.12.2016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D80BF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D80BF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D80BF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8001A0" w:rsidRDefault="00735041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45F22" w:rsidRPr="00AE1586">
        <w:rPr>
          <w:rFonts w:ascii="Times New Roman" w:hAnsi="Times New Roman"/>
          <w:sz w:val="28"/>
          <w:szCs w:val="28"/>
        </w:rPr>
        <w:t xml:space="preserve">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="00F45F22"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8001A0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9D" w:rsidRDefault="009D049D" w:rsidP="00A93FFA">
      <w:pPr>
        <w:spacing w:after="0" w:line="240" w:lineRule="auto"/>
      </w:pPr>
      <w:r>
        <w:separator/>
      </w:r>
    </w:p>
  </w:endnote>
  <w:endnote w:type="continuationSeparator" w:id="0">
    <w:p w:rsidR="009D049D" w:rsidRDefault="009D049D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9D" w:rsidRDefault="009D049D" w:rsidP="00A93FFA">
      <w:pPr>
        <w:spacing w:after="0" w:line="240" w:lineRule="auto"/>
      </w:pPr>
      <w:r>
        <w:separator/>
      </w:r>
    </w:p>
  </w:footnote>
  <w:footnote w:type="continuationSeparator" w:id="0">
    <w:p w:rsidR="009D049D" w:rsidRDefault="009D049D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D80BFB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2580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FB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31F6C"/>
    <w:rsid w:val="00053BF8"/>
    <w:rsid w:val="0007563F"/>
    <w:rsid w:val="000B5F70"/>
    <w:rsid w:val="000E579F"/>
    <w:rsid w:val="000E74CA"/>
    <w:rsid w:val="000F26F7"/>
    <w:rsid w:val="000F6F1E"/>
    <w:rsid w:val="001172CF"/>
    <w:rsid w:val="001A0A55"/>
    <w:rsid w:val="001D76EA"/>
    <w:rsid w:val="00253812"/>
    <w:rsid w:val="002572EC"/>
    <w:rsid w:val="00267B24"/>
    <w:rsid w:val="002B0727"/>
    <w:rsid w:val="002C2957"/>
    <w:rsid w:val="002E0FA2"/>
    <w:rsid w:val="002F336B"/>
    <w:rsid w:val="00345306"/>
    <w:rsid w:val="0036478A"/>
    <w:rsid w:val="003676DD"/>
    <w:rsid w:val="003956BA"/>
    <w:rsid w:val="003E22BD"/>
    <w:rsid w:val="0040412C"/>
    <w:rsid w:val="004765F9"/>
    <w:rsid w:val="004D1B31"/>
    <w:rsid w:val="004F0857"/>
    <w:rsid w:val="004F72DA"/>
    <w:rsid w:val="00511232"/>
    <w:rsid w:val="005C3A6A"/>
    <w:rsid w:val="005D1B1C"/>
    <w:rsid w:val="005E7A60"/>
    <w:rsid w:val="005F76FC"/>
    <w:rsid w:val="00632978"/>
    <w:rsid w:val="006E4472"/>
    <w:rsid w:val="00700C38"/>
    <w:rsid w:val="0071149D"/>
    <w:rsid w:val="00735041"/>
    <w:rsid w:val="00757A19"/>
    <w:rsid w:val="00772368"/>
    <w:rsid w:val="007A7A62"/>
    <w:rsid w:val="007B4E37"/>
    <w:rsid w:val="007C342F"/>
    <w:rsid w:val="007D5C40"/>
    <w:rsid w:val="008001A0"/>
    <w:rsid w:val="00833B15"/>
    <w:rsid w:val="008A1491"/>
    <w:rsid w:val="008B038B"/>
    <w:rsid w:val="008B5823"/>
    <w:rsid w:val="00900EAC"/>
    <w:rsid w:val="009D049D"/>
    <w:rsid w:val="00A06084"/>
    <w:rsid w:val="00A137CA"/>
    <w:rsid w:val="00A803EB"/>
    <w:rsid w:val="00A8790F"/>
    <w:rsid w:val="00A93FFA"/>
    <w:rsid w:val="00AE1586"/>
    <w:rsid w:val="00AF540D"/>
    <w:rsid w:val="00B13AD3"/>
    <w:rsid w:val="00B37359"/>
    <w:rsid w:val="00B41DD5"/>
    <w:rsid w:val="00B84E5C"/>
    <w:rsid w:val="00BD4705"/>
    <w:rsid w:val="00C4172F"/>
    <w:rsid w:val="00C7407D"/>
    <w:rsid w:val="00C969F7"/>
    <w:rsid w:val="00CD7C25"/>
    <w:rsid w:val="00D16B4A"/>
    <w:rsid w:val="00D20380"/>
    <w:rsid w:val="00D5517C"/>
    <w:rsid w:val="00D80BFB"/>
    <w:rsid w:val="00D83968"/>
    <w:rsid w:val="00D93152"/>
    <w:rsid w:val="00DA5128"/>
    <w:rsid w:val="00E017B9"/>
    <w:rsid w:val="00E25B50"/>
    <w:rsid w:val="00ED4B67"/>
    <w:rsid w:val="00F45F22"/>
    <w:rsid w:val="00F66FEC"/>
    <w:rsid w:val="00F95510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0F23A-8635-44C9-9DB3-D9F65B9E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26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86F7-D986-42CF-83DE-E21D92A7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51</cp:revision>
  <cp:lastPrinted>2015-12-30T07:25:00Z</cp:lastPrinted>
  <dcterms:created xsi:type="dcterms:W3CDTF">2015-12-24T05:28:00Z</dcterms:created>
  <dcterms:modified xsi:type="dcterms:W3CDTF">2016-01-08T08:07:00Z</dcterms:modified>
</cp:coreProperties>
</file>