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8D" w:rsidRDefault="00B1658D" w:rsidP="00B1658D">
      <w:pPr>
        <w:ind w:left="5580"/>
        <w:jc w:val="right"/>
      </w:pPr>
      <w:r>
        <w:rPr>
          <w:b/>
        </w:rPr>
        <w:t>УТВЕРЖДАЮ</w:t>
      </w:r>
      <w:r>
        <w:t>:</w:t>
      </w:r>
    </w:p>
    <w:p w:rsidR="00B1658D" w:rsidRDefault="00B1658D" w:rsidP="00B1658D">
      <w:pPr>
        <w:ind w:left="5580"/>
        <w:jc w:val="right"/>
      </w:pPr>
      <w:r>
        <w:t>Председатель региональной</w:t>
      </w:r>
    </w:p>
    <w:p w:rsidR="00B1658D" w:rsidRDefault="00B1658D" w:rsidP="00B1658D">
      <w:pPr>
        <w:tabs>
          <w:tab w:val="right" w:pos="10205"/>
        </w:tabs>
        <w:ind w:left="5580"/>
      </w:pPr>
      <w:r>
        <w:tab/>
        <w:t>энергетической комиссии</w:t>
      </w:r>
    </w:p>
    <w:p w:rsidR="00B1658D" w:rsidRDefault="00B1658D" w:rsidP="00B1658D">
      <w:pPr>
        <w:ind w:left="5580"/>
        <w:jc w:val="right"/>
      </w:pPr>
      <w:r>
        <w:t>Кемеровской области</w:t>
      </w:r>
    </w:p>
    <w:p w:rsidR="00B1658D" w:rsidRDefault="00B1658D" w:rsidP="00B1658D">
      <w:pPr>
        <w:ind w:left="5580"/>
        <w:jc w:val="right"/>
      </w:pPr>
      <w:r>
        <w:t xml:space="preserve">_________________ В.Г. </w:t>
      </w:r>
      <w:proofErr w:type="spellStart"/>
      <w:r>
        <w:t>Смолего</w:t>
      </w:r>
      <w:proofErr w:type="spellEnd"/>
    </w:p>
    <w:p w:rsidR="00B1658D" w:rsidRDefault="00B1658D" w:rsidP="00B1658D">
      <w:pPr>
        <w:tabs>
          <w:tab w:val="left" w:pos="540"/>
        </w:tabs>
        <w:jc w:val="center"/>
        <w:rPr>
          <w:b/>
        </w:rPr>
      </w:pPr>
    </w:p>
    <w:p w:rsidR="00B1658D" w:rsidRDefault="00B1658D" w:rsidP="00B1658D">
      <w:pPr>
        <w:tabs>
          <w:tab w:val="left" w:pos="540"/>
        </w:tabs>
        <w:jc w:val="center"/>
        <w:rPr>
          <w:b/>
        </w:rPr>
      </w:pPr>
      <w:r>
        <w:rPr>
          <w:b/>
        </w:rPr>
        <w:t xml:space="preserve">ПРОТОКОЛ № </w:t>
      </w:r>
      <w:r w:rsidR="00BE287D">
        <w:rPr>
          <w:b/>
        </w:rPr>
        <w:t>10-э</w:t>
      </w:r>
    </w:p>
    <w:p w:rsidR="00B1658D" w:rsidRDefault="00B1658D" w:rsidP="00B1658D">
      <w:pPr>
        <w:tabs>
          <w:tab w:val="left" w:pos="540"/>
        </w:tabs>
        <w:jc w:val="center"/>
        <w:rPr>
          <w:b/>
        </w:rPr>
      </w:pPr>
      <w:r>
        <w:rPr>
          <w:b/>
        </w:rPr>
        <w:t xml:space="preserve">ЗАСЕДАНИЯ ПРАВЛЕНИЯ РЕГИОНАЛЬНОЙ ЭНЕРГЕТИЧЕСКОЙ КОМИССИИ </w:t>
      </w:r>
    </w:p>
    <w:p w:rsidR="00B1658D" w:rsidRDefault="00B1658D" w:rsidP="00B1658D">
      <w:pPr>
        <w:tabs>
          <w:tab w:val="left" w:pos="540"/>
        </w:tabs>
        <w:jc w:val="center"/>
        <w:rPr>
          <w:b/>
        </w:rPr>
      </w:pPr>
      <w:r>
        <w:rPr>
          <w:b/>
        </w:rPr>
        <w:t>КЕМЕРОВСКОЙ ОБЛАСТИ</w:t>
      </w:r>
    </w:p>
    <w:p w:rsidR="00B1658D" w:rsidRDefault="00B1658D" w:rsidP="00B1658D">
      <w:pPr>
        <w:tabs>
          <w:tab w:val="left" w:pos="540"/>
        </w:tabs>
        <w:jc w:val="center"/>
      </w:pPr>
    </w:p>
    <w:p w:rsidR="00B1658D" w:rsidRDefault="001821DC" w:rsidP="00B1658D">
      <w:pPr>
        <w:jc w:val="both"/>
      </w:pPr>
      <w:r>
        <w:t>24.03</w:t>
      </w:r>
      <w:r w:rsidR="00A250BF">
        <w:t>.2015 г.</w:t>
      </w:r>
      <w:r w:rsidR="00A250BF">
        <w:tab/>
      </w:r>
      <w:r w:rsidR="00A250BF">
        <w:tab/>
      </w:r>
      <w:r w:rsidR="00A250BF">
        <w:tab/>
      </w:r>
      <w:r w:rsidR="00A250BF">
        <w:tab/>
      </w:r>
      <w:r w:rsidR="00A250BF">
        <w:tab/>
      </w:r>
      <w:r w:rsidR="00A250BF">
        <w:tab/>
      </w:r>
      <w:r w:rsidR="00A250BF">
        <w:tab/>
      </w:r>
      <w:r w:rsidR="00A250BF">
        <w:tab/>
      </w:r>
      <w:r w:rsidR="00A250BF">
        <w:tab/>
      </w:r>
      <w:r w:rsidR="00A250BF">
        <w:tab/>
      </w:r>
      <w:r w:rsidR="00A250BF">
        <w:tab/>
      </w:r>
      <w:r w:rsidR="00B1658D">
        <w:t xml:space="preserve"> г. Кемерово</w:t>
      </w:r>
    </w:p>
    <w:p w:rsidR="00B1658D" w:rsidRDefault="00B1658D" w:rsidP="00B1658D">
      <w:pPr>
        <w:jc w:val="both"/>
        <w:rPr>
          <w:color w:val="0D0D0D"/>
        </w:rPr>
      </w:pPr>
    </w:p>
    <w:p w:rsidR="00B1658D" w:rsidRDefault="00B1658D" w:rsidP="00B1658D">
      <w:pPr>
        <w:jc w:val="both"/>
        <w:rPr>
          <w:b/>
        </w:rPr>
      </w:pPr>
      <w:r>
        <w:rPr>
          <w:color w:val="0D0D0D"/>
        </w:rPr>
        <w:t xml:space="preserve">Председательствующий </w:t>
      </w:r>
      <w:r>
        <w:rPr>
          <w:color w:val="000000"/>
        </w:rPr>
        <w:t xml:space="preserve">– </w:t>
      </w:r>
      <w:proofErr w:type="spellStart"/>
      <w:r>
        <w:rPr>
          <w:b/>
          <w:color w:val="000000"/>
        </w:rPr>
        <w:t>Смолего</w:t>
      </w:r>
      <w:proofErr w:type="spellEnd"/>
      <w:r>
        <w:rPr>
          <w:b/>
          <w:color w:val="000000"/>
        </w:rPr>
        <w:t xml:space="preserve"> В.Г.</w:t>
      </w:r>
    </w:p>
    <w:p w:rsidR="00B1658D" w:rsidRDefault="00B1658D" w:rsidP="00B1658D">
      <w:pPr>
        <w:jc w:val="both"/>
        <w:rPr>
          <w:b/>
        </w:rPr>
      </w:pPr>
      <w:r>
        <w:t xml:space="preserve">Секретарь – </w:t>
      </w:r>
      <w:r>
        <w:rPr>
          <w:b/>
        </w:rPr>
        <w:t>Юхневич К.С.</w:t>
      </w:r>
    </w:p>
    <w:p w:rsidR="00B1658D" w:rsidRDefault="00B1658D" w:rsidP="00B1658D"/>
    <w:p w:rsidR="00B1658D" w:rsidRDefault="00B1658D" w:rsidP="00B1658D">
      <w:pPr>
        <w:jc w:val="both"/>
        <w:rPr>
          <w:b/>
        </w:rPr>
      </w:pPr>
      <w:r>
        <w:rPr>
          <w:b/>
        </w:rPr>
        <w:t>Присутствовали:</w:t>
      </w:r>
    </w:p>
    <w:p w:rsidR="00B1658D" w:rsidRDefault="00B1658D" w:rsidP="00B1658D">
      <w:pPr>
        <w:jc w:val="both"/>
        <w:rPr>
          <w:b/>
        </w:rPr>
      </w:pPr>
      <w:r>
        <w:t xml:space="preserve">Члены Правления: </w:t>
      </w:r>
      <w:proofErr w:type="spellStart"/>
      <w:r>
        <w:rPr>
          <w:b/>
        </w:rPr>
        <w:t>Гринь</w:t>
      </w:r>
      <w:proofErr w:type="spellEnd"/>
      <w:r>
        <w:rPr>
          <w:b/>
        </w:rPr>
        <w:t xml:space="preserve"> А.Ю., Гусельщиков Э.Б., </w:t>
      </w:r>
      <w:proofErr w:type="spellStart"/>
      <w:r>
        <w:rPr>
          <w:b/>
        </w:rPr>
        <w:t>Чурсина</w:t>
      </w:r>
      <w:proofErr w:type="spellEnd"/>
      <w:r>
        <w:rPr>
          <w:b/>
        </w:rPr>
        <w:t xml:space="preserve"> О.А., </w:t>
      </w:r>
      <w:proofErr w:type="spellStart"/>
      <w:r>
        <w:rPr>
          <w:b/>
        </w:rPr>
        <w:t>Дюков</w:t>
      </w:r>
      <w:proofErr w:type="spellEnd"/>
      <w:r>
        <w:rPr>
          <w:b/>
        </w:rPr>
        <w:t xml:space="preserve"> А.В.,</w:t>
      </w:r>
      <w:r w:rsidR="00A250BF">
        <w:rPr>
          <w:b/>
        </w:rPr>
        <w:br/>
      </w:r>
      <w:proofErr w:type="spellStart"/>
      <w:r w:rsidR="00B72E16">
        <w:rPr>
          <w:b/>
        </w:rPr>
        <w:t>Кулебякина</w:t>
      </w:r>
      <w:proofErr w:type="spellEnd"/>
      <w:r w:rsidR="00B72E16">
        <w:rPr>
          <w:b/>
        </w:rPr>
        <w:t xml:space="preserve"> М.В.</w:t>
      </w:r>
    </w:p>
    <w:p w:rsidR="00B1658D" w:rsidRDefault="00B1658D" w:rsidP="00B1658D">
      <w:pPr>
        <w:jc w:val="both"/>
        <w:rPr>
          <w:b/>
        </w:rPr>
      </w:pPr>
    </w:p>
    <w:p w:rsidR="00B1658D" w:rsidRDefault="00B1658D" w:rsidP="00B1658D">
      <w:pPr>
        <w:jc w:val="both"/>
      </w:pPr>
      <w:proofErr w:type="spellStart"/>
      <w:r>
        <w:rPr>
          <w:b/>
        </w:rPr>
        <w:t>Приезжев</w:t>
      </w:r>
      <w:proofErr w:type="spellEnd"/>
      <w:r>
        <w:rPr>
          <w:b/>
        </w:rPr>
        <w:t xml:space="preserve"> К.А. – </w:t>
      </w:r>
      <w:r>
        <w:t xml:space="preserve">начальник </w:t>
      </w:r>
      <w:r w:rsidR="00F63935">
        <w:t>контрольно-правового управления;</w:t>
      </w:r>
    </w:p>
    <w:p w:rsidR="00B72E16" w:rsidRPr="00B72E16" w:rsidRDefault="00B72E16" w:rsidP="00B72E16">
      <w:pPr>
        <w:jc w:val="both"/>
      </w:pPr>
      <w:proofErr w:type="spellStart"/>
      <w:r>
        <w:rPr>
          <w:b/>
        </w:rPr>
        <w:t>Зарипов</w:t>
      </w:r>
      <w:proofErr w:type="spellEnd"/>
      <w:r>
        <w:rPr>
          <w:b/>
        </w:rPr>
        <w:t xml:space="preserve"> А.А. </w:t>
      </w:r>
      <w:r w:rsidRPr="00B72E16">
        <w:t>– главный консультант технического отдела</w:t>
      </w:r>
      <w:r w:rsidR="00F63935">
        <w:t>;</w:t>
      </w:r>
    </w:p>
    <w:p w:rsidR="00B72E16" w:rsidRPr="00B72E16" w:rsidRDefault="00B72E16" w:rsidP="00B72E16">
      <w:pPr>
        <w:jc w:val="both"/>
      </w:pPr>
      <w:proofErr w:type="spellStart"/>
      <w:r w:rsidRPr="00B72E16">
        <w:rPr>
          <w:b/>
        </w:rPr>
        <w:t>Седашкина</w:t>
      </w:r>
      <w:proofErr w:type="spellEnd"/>
      <w:r w:rsidRPr="00B72E16">
        <w:rPr>
          <w:b/>
        </w:rPr>
        <w:t xml:space="preserve"> Г.С. </w:t>
      </w:r>
      <w:r>
        <w:rPr>
          <w:b/>
        </w:rPr>
        <w:t>–</w:t>
      </w:r>
      <w:r w:rsidRPr="00B72E16">
        <w:rPr>
          <w:b/>
        </w:rPr>
        <w:t xml:space="preserve"> </w:t>
      </w:r>
      <w:r w:rsidRPr="00B72E16">
        <w:t>ведущий консультант отдела ценообразования в электроэнергетике</w:t>
      </w:r>
      <w:r w:rsidR="00F63935">
        <w:t>.</w:t>
      </w:r>
    </w:p>
    <w:p w:rsidR="00B72E16" w:rsidRPr="00B72E16" w:rsidRDefault="00B72E16" w:rsidP="00B1658D">
      <w:pPr>
        <w:jc w:val="both"/>
      </w:pPr>
    </w:p>
    <w:p w:rsidR="00B1658D" w:rsidRDefault="00B1658D" w:rsidP="00B1658D">
      <w:pPr>
        <w:tabs>
          <w:tab w:val="left" w:pos="9015"/>
        </w:tabs>
        <w:jc w:val="both"/>
      </w:pPr>
      <w:r>
        <w:rPr>
          <w:b/>
        </w:rPr>
        <w:t xml:space="preserve">Приглашенные: </w:t>
      </w:r>
      <w:proofErr w:type="spellStart"/>
      <w:r>
        <w:rPr>
          <w:b/>
        </w:rPr>
        <w:t>Малюта</w:t>
      </w:r>
      <w:proofErr w:type="spellEnd"/>
      <w:r>
        <w:rPr>
          <w:b/>
        </w:rPr>
        <w:t xml:space="preserve"> Д.В. – </w:t>
      </w:r>
      <w:r>
        <w:t>генеральный директор ОАО «АЭЭ»</w:t>
      </w:r>
      <w:r w:rsidR="0095197F">
        <w:t>.</w:t>
      </w:r>
      <w:r>
        <w:tab/>
      </w:r>
    </w:p>
    <w:p w:rsidR="00B72E16" w:rsidRDefault="00B72E16" w:rsidP="00B1658D">
      <w:pPr>
        <w:jc w:val="both"/>
        <w:rPr>
          <w:b/>
        </w:rPr>
      </w:pPr>
    </w:p>
    <w:p w:rsidR="00B1658D" w:rsidRDefault="00B1658D" w:rsidP="00B1658D">
      <w:pPr>
        <w:jc w:val="both"/>
        <w:rPr>
          <w:b/>
        </w:rPr>
      </w:pPr>
      <w:r>
        <w:rPr>
          <w:b/>
        </w:rPr>
        <w:t>Повестка заседания:</w:t>
      </w:r>
    </w:p>
    <w:p w:rsidR="00B72E16" w:rsidRDefault="00B72E16" w:rsidP="00B1658D">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9714"/>
      </w:tblGrid>
      <w:tr w:rsidR="00B1658D" w:rsidTr="00B1658D">
        <w:trPr>
          <w:trHeight w:val="642"/>
          <w:jc w:val="center"/>
        </w:trPr>
        <w:tc>
          <w:tcPr>
            <w:tcW w:w="707" w:type="dxa"/>
            <w:tcBorders>
              <w:top w:val="single" w:sz="4" w:space="0" w:color="auto"/>
              <w:left w:val="single" w:sz="4" w:space="0" w:color="auto"/>
              <w:bottom w:val="single" w:sz="4" w:space="0" w:color="auto"/>
              <w:right w:val="single" w:sz="4" w:space="0" w:color="auto"/>
            </w:tcBorders>
            <w:hideMark/>
          </w:tcPr>
          <w:p w:rsidR="00B1658D" w:rsidRDefault="00B1658D">
            <w:pPr>
              <w:jc w:val="both"/>
            </w:pPr>
            <w:r>
              <w:t xml:space="preserve">1. </w:t>
            </w:r>
          </w:p>
        </w:tc>
        <w:tc>
          <w:tcPr>
            <w:tcW w:w="9716" w:type="dxa"/>
            <w:tcBorders>
              <w:top w:val="single" w:sz="4" w:space="0" w:color="auto"/>
              <w:left w:val="single" w:sz="4" w:space="0" w:color="auto"/>
              <w:bottom w:val="single" w:sz="4" w:space="0" w:color="auto"/>
              <w:right w:val="single" w:sz="4" w:space="0" w:color="auto"/>
            </w:tcBorders>
            <w:hideMark/>
          </w:tcPr>
          <w:p w:rsidR="00B1658D" w:rsidRDefault="00B72E16">
            <w:pPr>
              <w:jc w:val="both"/>
              <w:rPr>
                <w:color w:val="000000"/>
              </w:rPr>
            </w:pPr>
            <w:r w:rsidRPr="00917E68">
              <w:rPr>
                <w:color w:val="000000"/>
              </w:rPr>
              <w:t xml:space="preserve">Об установлении платы за технологическое присоединение к электрическим сетям филиала ОАО «МРСК Сибири» – «Кузбассэнерго – РЭС» </w:t>
            </w:r>
            <w:proofErr w:type="spellStart"/>
            <w:r w:rsidRPr="00917E68">
              <w:rPr>
                <w:color w:val="000000"/>
              </w:rPr>
              <w:t>энергопринимающих</w:t>
            </w:r>
            <w:proofErr w:type="spellEnd"/>
            <w:r w:rsidRPr="00917E68">
              <w:rPr>
                <w:color w:val="000000"/>
              </w:rPr>
              <w:t xml:space="preserve"> устройств ООО «КДВ </w:t>
            </w:r>
            <w:proofErr w:type="spellStart"/>
            <w:r w:rsidRPr="00917E68">
              <w:rPr>
                <w:color w:val="000000"/>
              </w:rPr>
              <w:t>Яшкинские</w:t>
            </w:r>
            <w:proofErr w:type="spellEnd"/>
            <w:r w:rsidRPr="00917E68">
              <w:rPr>
                <w:color w:val="000000"/>
              </w:rPr>
              <w:t xml:space="preserve"> Теплицы» (электроснабжение электроустановок тепличного комплекса и птицефабрики), расположенных по адресу: Кемеровская обл., </w:t>
            </w:r>
            <w:proofErr w:type="spellStart"/>
            <w:r w:rsidRPr="00917E68">
              <w:rPr>
                <w:color w:val="000000"/>
              </w:rPr>
              <w:t>Яшкинский</w:t>
            </w:r>
            <w:proofErr w:type="spellEnd"/>
            <w:r w:rsidRPr="00917E68">
              <w:rPr>
                <w:color w:val="000000"/>
              </w:rPr>
              <w:t xml:space="preserve"> район, с. Поломошное по индивидуальному проекту</w:t>
            </w:r>
          </w:p>
        </w:tc>
      </w:tr>
    </w:tbl>
    <w:p w:rsidR="00A80F14" w:rsidRDefault="00A80F14"/>
    <w:p w:rsidR="00956C3E" w:rsidRDefault="00956C3E" w:rsidP="00956C3E">
      <w:pPr>
        <w:ind w:firstLine="567"/>
        <w:jc w:val="both"/>
      </w:pPr>
      <w:proofErr w:type="spellStart"/>
      <w:r w:rsidRPr="00956C3E">
        <w:rPr>
          <w:b/>
        </w:rPr>
        <w:t>Смолего</w:t>
      </w:r>
      <w:proofErr w:type="spellEnd"/>
      <w:r w:rsidRPr="00956C3E">
        <w:rPr>
          <w:b/>
        </w:rPr>
        <w:t xml:space="preserve"> В.Г.</w:t>
      </w:r>
      <w:r>
        <w:t xml:space="preserve"> </w:t>
      </w:r>
      <w:r w:rsidRPr="00B01C8A">
        <w:t>ознакомил присутствующих с повесткой дня, обратил внимание, что предприяти</w:t>
      </w:r>
      <w:r>
        <w:t>ю</w:t>
      </w:r>
      <w:r w:rsidRPr="00B01C8A">
        <w:t xml:space="preserve"> в установленны</w:t>
      </w:r>
      <w:r>
        <w:t>й</w:t>
      </w:r>
      <w:r w:rsidRPr="00B01C8A">
        <w:t xml:space="preserve"> срок был</w:t>
      </w:r>
      <w:r>
        <w:t>о</w:t>
      </w:r>
      <w:r w:rsidRPr="00B01C8A">
        <w:t xml:space="preserve"> направлен</w:t>
      </w:r>
      <w:r>
        <w:t>о</w:t>
      </w:r>
      <w:r w:rsidRPr="00B01C8A">
        <w:t xml:space="preserve"> уведомлени</w:t>
      </w:r>
      <w:r>
        <w:t>е</w:t>
      </w:r>
      <w:r w:rsidRPr="00B01C8A">
        <w:t xml:space="preserve"> о дате проведения Правления</w:t>
      </w:r>
      <w:r>
        <w:t>,</w:t>
      </w:r>
      <w:r w:rsidRPr="00B01C8A">
        <w:t xml:space="preserve"> </w:t>
      </w:r>
      <w:r>
        <w:t>и</w:t>
      </w:r>
      <w:r w:rsidRPr="00B01C8A">
        <w:t xml:space="preserve"> предоставил слово докладчик</w:t>
      </w:r>
      <w:r>
        <w:t>у</w:t>
      </w:r>
      <w:r w:rsidRPr="00B01C8A">
        <w:t>.</w:t>
      </w:r>
    </w:p>
    <w:p w:rsidR="00956C3E" w:rsidRDefault="00956C3E"/>
    <w:p w:rsidR="00B72E16" w:rsidRDefault="00B72E16" w:rsidP="002F5F39">
      <w:pPr>
        <w:ind w:firstLine="567"/>
        <w:jc w:val="both"/>
        <w:rPr>
          <w:b/>
          <w:color w:val="000000"/>
        </w:rPr>
      </w:pPr>
      <w:r w:rsidRPr="00B72E16">
        <w:rPr>
          <w:b/>
          <w:color w:val="000000"/>
        </w:rPr>
        <w:t xml:space="preserve">1.Об установлении платы за технологическое присоединение к электрическим сетям филиала ОАО «МРСК Сибири» – «Кузбассэнерго – РЭС» </w:t>
      </w:r>
      <w:proofErr w:type="spellStart"/>
      <w:r w:rsidRPr="00B72E16">
        <w:rPr>
          <w:b/>
          <w:color w:val="000000"/>
        </w:rPr>
        <w:t>энергопринимающих</w:t>
      </w:r>
      <w:proofErr w:type="spellEnd"/>
      <w:r w:rsidRPr="00B72E16">
        <w:rPr>
          <w:b/>
          <w:color w:val="000000"/>
        </w:rPr>
        <w:t xml:space="preserve"> устройств ООО «КДВ </w:t>
      </w:r>
      <w:proofErr w:type="spellStart"/>
      <w:r w:rsidRPr="00B72E16">
        <w:rPr>
          <w:b/>
          <w:color w:val="000000"/>
        </w:rPr>
        <w:t>Яшкинские</w:t>
      </w:r>
      <w:proofErr w:type="spellEnd"/>
      <w:r w:rsidRPr="00B72E16">
        <w:rPr>
          <w:b/>
          <w:color w:val="000000"/>
        </w:rPr>
        <w:t xml:space="preserve"> Теплицы» (электроснабжение электроустановок тепличного комплекса и птицефабрики), расположенных по адресу: </w:t>
      </w:r>
      <w:proofErr w:type="gramStart"/>
      <w:r w:rsidRPr="00B72E16">
        <w:rPr>
          <w:b/>
          <w:color w:val="000000"/>
        </w:rPr>
        <w:t>Кемеровская</w:t>
      </w:r>
      <w:proofErr w:type="gramEnd"/>
      <w:r w:rsidRPr="00B72E16">
        <w:rPr>
          <w:b/>
          <w:color w:val="000000"/>
        </w:rPr>
        <w:t xml:space="preserve"> обл., </w:t>
      </w:r>
      <w:proofErr w:type="spellStart"/>
      <w:r w:rsidRPr="00B72E16">
        <w:rPr>
          <w:b/>
          <w:color w:val="000000"/>
        </w:rPr>
        <w:t>Яшкинский</w:t>
      </w:r>
      <w:proofErr w:type="spellEnd"/>
      <w:r w:rsidRPr="00B72E16">
        <w:rPr>
          <w:b/>
          <w:color w:val="000000"/>
        </w:rPr>
        <w:t xml:space="preserve"> район, с. Поломошное по индивидуальному проекту</w:t>
      </w:r>
      <w:r w:rsidR="00214B99">
        <w:rPr>
          <w:b/>
          <w:color w:val="000000"/>
        </w:rPr>
        <w:t>.</w:t>
      </w:r>
    </w:p>
    <w:p w:rsidR="00956C3E" w:rsidRDefault="00956C3E" w:rsidP="00B72E16">
      <w:pPr>
        <w:jc w:val="both"/>
        <w:rPr>
          <w:b/>
          <w:color w:val="000000"/>
        </w:rPr>
      </w:pPr>
    </w:p>
    <w:p w:rsidR="00956C3E" w:rsidRDefault="00956C3E" w:rsidP="00956C3E">
      <w:pPr>
        <w:ind w:firstLine="567"/>
        <w:jc w:val="both"/>
      </w:pPr>
      <w:r w:rsidRPr="00A16CAB">
        <w:t>Докладчик</w:t>
      </w:r>
      <w:r>
        <w:t>и</w:t>
      </w:r>
      <w:r w:rsidRPr="00A16CAB">
        <w:t xml:space="preserve"> (</w:t>
      </w:r>
      <w:proofErr w:type="spellStart"/>
      <w:r>
        <w:t>Зарипов</w:t>
      </w:r>
      <w:proofErr w:type="spellEnd"/>
      <w:r>
        <w:t xml:space="preserve"> А.А, </w:t>
      </w:r>
      <w:proofErr w:type="spellStart"/>
      <w:r>
        <w:t>Седашкина</w:t>
      </w:r>
      <w:proofErr w:type="spellEnd"/>
      <w:r>
        <w:t xml:space="preserve"> Г.С.</w:t>
      </w:r>
      <w:r w:rsidRPr="00A16CAB">
        <w:t>) доложил</w:t>
      </w:r>
      <w:r>
        <w:t>и</w:t>
      </w:r>
      <w:r w:rsidRPr="00A16CAB">
        <w:t>:</w:t>
      </w:r>
    </w:p>
    <w:p w:rsidR="00850587" w:rsidRPr="00A16CAB" w:rsidRDefault="00850587" w:rsidP="00956C3E">
      <w:pPr>
        <w:ind w:firstLine="567"/>
        <w:jc w:val="both"/>
      </w:pPr>
    </w:p>
    <w:p w:rsidR="00850587" w:rsidRPr="00850587" w:rsidRDefault="00850587" w:rsidP="002F5F39">
      <w:pPr>
        <w:ind w:firstLine="567"/>
        <w:jc w:val="both"/>
      </w:pPr>
      <w:r w:rsidRPr="00850587">
        <w:t>Эксперты рассматривали и принимали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rsidR="00850587" w:rsidRDefault="00850587" w:rsidP="00850587">
      <w:pPr>
        <w:jc w:val="both"/>
      </w:pPr>
    </w:p>
    <w:p w:rsidR="002F5F39" w:rsidRDefault="002F5F39" w:rsidP="00850587">
      <w:pPr>
        <w:jc w:val="both"/>
      </w:pPr>
    </w:p>
    <w:p w:rsidR="002F5F39" w:rsidRPr="00850587" w:rsidRDefault="002F5F39" w:rsidP="00850587">
      <w:pPr>
        <w:jc w:val="both"/>
      </w:pPr>
    </w:p>
    <w:p w:rsidR="00850587" w:rsidRPr="00850587" w:rsidRDefault="00850587" w:rsidP="00850587">
      <w:pPr>
        <w:spacing w:line="360" w:lineRule="auto"/>
        <w:ind w:firstLine="720"/>
        <w:jc w:val="center"/>
      </w:pPr>
      <w:r w:rsidRPr="00850587">
        <w:rPr>
          <w:b/>
        </w:rPr>
        <w:lastRenderedPageBreak/>
        <w:t>Физический объем необходимых работ</w:t>
      </w:r>
    </w:p>
    <w:p w:rsidR="00850587" w:rsidRPr="00850587" w:rsidRDefault="00850587" w:rsidP="00850587">
      <w:pPr>
        <w:numPr>
          <w:ilvl w:val="0"/>
          <w:numId w:val="9"/>
        </w:numPr>
      </w:pPr>
      <w:r w:rsidRPr="00850587">
        <w:t xml:space="preserve">Строительство </w:t>
      </w:r>
      <w:proofErr w:type="spellStart"/>
      <w:r w:rsidRPr="00850587">
        <w:t>шлейфового</w:t>
      </w:r>
      <w:proofErr w:type="spellEnd"/>
      <w:r w:rsidRPr="00850587">
        <w:t xml:space="preserve"> захода ВЛ 110кВ </w:t>
      </w:r>
      <w:proofErr w:type="spellStart"/>
      <w:r w:rsidRPr="00850587">
        <w:t>Юргинская</w:t>
      </w:r>
      <w:proofErr w:type="spellEnd"/>
      <w:r w:rsidRPr="00850587">
        <w:t xml:space="preserve"> – </w:t>
      </w:r>
      <w:proofErr w:type="spellStart"/>
      <w:r w:rsidRPr="00850587">
        <w:t>Яшкинская</w:t>
      </w:r>
      <w:proofErr w:type="spellEnd"/>
      <w:r w:rsidRPr="00850587">
        <w:t xml:space="preserve"> -1 на участке Тальменка – </w:t>
      </w:r>
      <w:proofErr w:type="spellStart"/>
      <w:r w:rsidRPr="00850587">
        <w:t>Тутальская</w:t>
      </w:r>
      <w:proofErr w:type="spellEnd"/>
      <w:r w:rsidRPr="00850587">
        <w:t xml:space="preserve"> на ПС </w:t>
      </w:r>
      <w:proofErr w:type="spellStart"/>
      <w:r w:rsidRPr="00850587">
        <w:t>Поломошная</w:t>
      </w:r>
      <w:proofErr w:type="spellEnd"/>
      <w:r w:rsidRPr="00850587">
        <w:t>, проводом – АС 185/24, протяженностью – 4 км.</w:t>
      </w:r>
    </w:p>
    <w:p w:rsidR="00850587" w:rsidRPr="00850587" w:rsidRDefault="00850587" w:rsidP="00850587">
      <w:pPr>
        <w:numPr>
          <w:ilvl w:val="0"/>
          <w:numId w:val="9"/>
        </w:numPr>
      </w:pPr>
      <w:r w:rsidRPr="00850587">
        <w:t xml:space="preserve">Строительство ПС </w:t>
      </w:r>
      <w:proofErr w:type="spellStart"/>
      <w:r w:rsidRPr="00850587">
        <w:t>Поломошная</w:t>
      </w:r>
      <w:proofErr w:type="spellEnd"/>
      <w:r w:rsidRPr="00850587">
        <w:t>:</w:t>
      </w:r>
    </w:p>
    <w:p w:rsidR="00850587" w:rsidRPr="00850587" w:rsidRDefault="00850587" w:rsidP="00850587">
      <w:pPr>
        <w:ind w:left="720"/>
      </w:pPr>
      <w:r w:rsidRPr="00850587">
        <w:t xml:space="preserve">- с 2-мя трансформаторами 110/10 </w:t>
      </w:r>
      <w:proofErr w:type="spellStart"/>
      <w:r w:rsidRPr="00850587">
        <w:t>кВ</w:t>
      </w:r>
      <w:proofErr w:type="spellEnd"/>
      <w:r w:rsidRPr="00850587">
        <w:t xml:space="preserve"> мощностью 40МВА каждый, оснащенными устройствами РПН </w:t>
      </w:r>
    </w:p>
    <w:p w:rsidR="00850587" w:rsidRPr="00850587" w:rsidRDefault="00850587" w:rsidP="00850587">
      <w:pPr>
        <w:ind w:left="720"/>
      </w:pPr>
      <w:r w:rsidRPr="00850587">
        <w:t xml:space="preserve">- схема соединений РУ 110 </w:t>
      </w:r>
      <w:proofErr w:type="spellStart"/>
      <w:r w:rsidRPr="00850587">
        <w:t>кВ</w:t>
      </w:r>
      <w:proofErr w:type="spellEnd"/>
      <w:r w:rsidRPr="00850587">
        <w:t xml:space="preserve"> принята типовая: № 110-5Н «Мостик с выключателями в цепях линий и ремонтной перемычкой со стороны линий».</w:t>
      </w:r>
    </w:p>
    <w:p w:rsidR="00850587" w:rsidRPr="00850587" w:rsidRDefault="00850587" w:rsidP="00850587">
      <w:pPr>
        <w:ind w:left="720" w:firstLine="696"/>
      </w:pPr>
      <w:r w:rsidRPr="00850587">
        <w:t>Согласно заявки, строительство спланировано на 2014-2015 годы, ввод в эксплуатацию и набор мощности в 3 (три) этапа:</w:t>
      </w:r>
    </w:p>
    <w:p w:rsidR="00850587" w:rsidRPr="00850587" w:rsidRDefault="00850587" w:rsidP="00850587">
      <w:pPr>
        <w:ind w:left="720"/>
      </w:pPr>
      <w:r w:rsidRPr="00850587">
        <w:t xml:space="preserve">1 этап – 2014г. </w:t>
      </w:r>
      <w:r w:rsidRPr="00850587">
        <w:rPr>
          <w:lang w:val="en-US"/>
        </w:rPr>
        <w:t>I</w:t>
      </w:r>
      <w:r w:rsidRPr="00850587">
        <w:t xml:space="preserve"> категория – 4780 кВт; </w:t>
      </w:r>
      <w:r w:rsidRPr="00850587">
        <w:rPr>
          <w:lang w:val="en-US"/>
        </w:rPr>
        <w:t>II</w:t>
      </w:r>
      <w:r w:rsidRPr="00850587">
        <w:t xml:space="preserve"> категория – 88 кВт; </w:t>
      </w:r>
      <w:r w:rsidRPr="00850587">
        <w:rPr>
          <w:lang w:val="en-US"/>
        </w:rPr>
        <w:t>III</w:t>
      </w:r>
      <w:r w:rsidRPr="00850587">
        <w:t xml:space="preserve"> категория – 11240 кВт;</w:t>
      </w:r>
    </w:p>
    <w:p w:rsidR="00850587" w:rsidRPr="00850587" w:rsidRDefault="00850587" w:rsidP="00850587">
      <w:pPr>
        <w:ind w:left="720"/>
      </w:pPr>
      <w:r w:rsidRPr="00850587">
        <w:t xml:space="preserve">2 этап – 2015г. </w:t>
      </w:r>
      <w:r w:rsidRPr="00850587">
        <w:rPr>
          <w:lang w:val="en-US"/>
        </w:rPr>
        <w:t>III</w:t>
      </w:r>
      <w:r w:rsidRPr="00850587">
        <w:t xml:space="preserve"> категория – 16500 кВт;</w:t>
      </w:r>
    </w:p>
    <w:p w:rsidR="00850587" w:rsidRPr="00850587" w:rsidRDefault="00850587" w:rsidP="00850587">
      <w:pPr>
        <w:ind w:left="720"/>
      </w:pPr>
      <w:r w:rsidRPr="00850587">
        <w:t xml:space="preserve">3 этап – 2016г. </w:t>
      </w:r>
      <w:r w:rsidRPr="00850587">
        <w:rPr>
          <w:lang w:val="en-US"/>
        </w:rPr>
        <w:t>III</w:t>
      </w:r>
      <w:r w:rsidRPr="00850587">
        <w:t xml:space="preserve"> категория – 4110 кВт.</w:t>
      </w:r>
    </w:p>
    <w:p w:rsidR="00850587" w:rsidRPr="00850587" w:rsidRDefault="00850587" w:rsidP="00850587">
      <w:pPr>
        <w:ind w:left="720"/>
      </w:pPr>
      <w:r w:rsidRPr="00850587">
        <w:t xml:space="preserve">После утверждения тарифа для осуществления технологического присоединения к электрическим сетям, заключается договор с Заявителем – ООО «КВД </w:t>
      </w:r>
      <w:proofErr w:type="spellStart"/>
      <w:r w:rsidRPr="00850587">
        <w:t>Яшкинские</w:t>
      </w:r>
      <w:proofErr w:type="spellEnd"/>
      <w:r w:rsidRPr="00850587">
        <w:t xml:space="preserve"> Теплицы» филиалом ОАО «МРСК Сибири» – «Кузбассэнерго – РЭС» проектирование и строительство выполняется в рамках данного договора. Расчет стоимости капитальных вложений произведен в ценах декабря 2014 года, фактическое строительство будет осуществляться в 2015-2016 годах, применен коэффициент инфляции на 2015 год, утвержденный письмом Минэкономразвития РФ от 22.10.2014 № 26025-АВ/ДОЗИ.   </w:t>
      </w:r>
    </w:p>
    <w:p w:rsidR="00C61BE0" w:rsidRDefault="00C61BE0" w:rsidP="00BF6878">
      <w:pPr>
        <w:rPr>
          <w:b/>
        </w:rPr>
      </w:pPr>
    </w:p>
    <w:p w:rsidR="00850587" w:rsidRPr="00850587" w:rsidRDefault="00850587" w:rsidP="00850587">
      <w:pPr>
        <w:jc w:val="center"/>
        <w:rPr>
          <w:b/>
        </w:rPr>
      </w:pPr>
      <w:r w:rsidRPr="00850587">
        <w:rPr>
          <w:b/>
        </w:rPr>
        <w:t>Анализ величины максимальной мощности</w:t>
      </w:r>
    </w:p>
    <w:p w:rsidR="00850587" w:rsidRPr="00850587" w:rsidRDefault="00850587" w:rsidP="00850587">
      <w:pPr>
        <w:jc w:val="center"/>
        <w:rPr>
          <w:b/>
        </w:rPr>
      </w:pPr>
    </w:p>
    <w:p w:rsidR="00850587" w:rsidRPr="00850587" w:rsidRDefault="00850587" w:rsidP="00850587">
      <w:pPr>
        <w:ind w:firstLine="720"/>
        <w:jc w:val="both"/>
      </w:pPr>
      <w:r w:rsidRPr="00850587">
        <w:t xml:space="preserve">В соответствии с заявкой на технологическое присоединение и выданными техническими условиями, величина максимальной мощности составляет 37,43 МВт. К </w:t>
      </w:r>
      <w:r w:rsidRPr="00850587">
        <w:rPr>
          <w:lang w:val="en-US"/>
        </w:rPr>
        <w:t>I</w:t>
      </w:r>
      <w:r w:rsidRPr="00850587">
        <w:t xml:space="preserve"> категории по надежности электроснабжения относятся </w:t>
      </w:r>
      <w:proofErr w:type="spellStart"/>
      <w:r w:rsidRPr="00850587">
        <w:t>энергопринимающие</w:t>
      </w:r>
      <w:proofErr w:type="spellEnd"/>
      <w:r w:rsidRPr="00850587">
        <w:t xml:space="preserve"> устройства мощностью 4,78 МВт, ко </w:t>
      </w:r>
      <w:r w:rsidRPr="00850587">
        <w:rPr>
          <w:lang w:val="en-US"/>
        </w:rPr>
        <w:t>II</w:t>
      </w:r>
      <w:r w:rsidRPr="00850587">
        <w:t xml:space="preserve"> категории по надежности электроснабжения относятся </w:t>
      </w:r>
      <w:proofErr w:type="spellStart"/>
      <w:r w:rsidRPr="00850587">
        <w:t>энергопринимающие</w:t>
      </w:r>
      <w:proofErr w:type="spellEnd"/>
      <w:r w:rsidRPr="00850587">
        <w:t xml:space="preserve"> устройства мощностью 0,8 МВт, к </w:t>
      </w:r>
      <w:r w:rsidRPr="00850587">
        <w:rPr>
          <w:lang w:val="en-US"/>
        </w:rPr>
        <w:t>III</w:t>
      </w:r>
      <w:r w:rsidRPr="00850587">
        <w:t xml:space="preserve"> категории по надежности электроснабжения относятся </w:t>
      </w:r>
      <w:proofErr w:type="spellStart"/>
      <w:r w:rsidRPr="00850587">
        <w:t>энергопринимающие</w:t>
      </w:r>
      <w:proofErr w:type="spellEnd"/>
      <w:r w:rsidRPr="00850587">
        <w:t xml:space="preserve"> устройства мощностью 31,85 МВт. Категория по надежности электроснабжения </w:t>
      </w:r>
      <w:proofErr w:type="spellStart"/>
      <w:r w:rsidRPr="00850587">
        <w:t>электроприемников</w:t>
      </w:r>
      <w:proofErr w:type="spellEnd"/>
      <w:r w:rsidRPr="00850587">
        <w:t xml:space="preserve"> Заявителя осуществляется присоединением электроустановок Заявителя к разным секциям шин 10кВ ПС </w:t>
      </w:r>
      <w:proofErr w:type="spellStart"/>
      <w:r w:rsidRPr="00850587">
        <w:t>Поломошная</w:t>
      </w:r>
      <w:proofErr w:type="spellEnd"/>
      <w:r w:rsidRPr="00850587">
        <w:t>.</w:t>
      </w:r>
    </w:p>
    <w:p w:rsidR="00850587" w:rsidRPr="00850587" w:rsidRDefault="00850587" w:rsidP="00850587">
      <w:pPr>
        <w:ind w:firstLine="708"/>
        <w:jc w:val="both"/>
      </w:pPr>
      <w:r w:rsidRPr="00850587">
        <w:t xml:space="preserve">Эксперт технического отдела предлагает, при определении платы за технологическое присоединение по индивидуальному проекту, учесть величину максимальной мощности, определенной предприятием, т.к. она подтверждается заявкой ООО «КВД </w:t>
      </w:r>
      <w:proofErr w:type="spellStart"/>
      <w:r w:rsidRPr="00850587">
        <w:t>Яшкинские</w:t>
      </w:r>
      <w:proofErr w:type="spellEnd"/>
      <w:r w:rsidRPr="00850587">
        <w:t xml:space="preserve"> теплицы».</w:t>
      </w:r>
    </w:p>
    <w:p w:rsidR="00850587" w:rsidRPr="00850587" w:rsidRDefault="00850587" w:rsidP="00850587">
      <w:pPr>
        <w:ind w:firstLine="708"/>
        <w:rPr>
          <w:b/>
        </w:rPr>
      </w:pP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414"/>
        <w:gridCol w:w="3203"/>
        <w:gridCol w:w="3804"/>
      </w:tblGrid>
      <w:tr w:rsidR="00850587" w:rsidRPr="00850587" w:rsidTr="00214B99">
        <w:trPr>
          <w:trHeight w:val="846"/>
          <w:jc w:val="center"/>
        </w:trPr>
        <w:tc>
          <w:tcPr>
            <w:tcW w:w="3070" w:type="dxa"/>
            <w:tcBorders>
              <w:top w:val="single" w:sz="8" w:space="0" w:color="auto"/>
              <w:left w:val="single" w:sz="8" w:space="0" w:color="auto"/>
              <w:bottom w:val="single" w:sz="8" w:space="0" w:color="auto"/>
              <w:right w:val="single" w:sz="4" w:space="0" w:color="auto"/>
            </w:tcBorders>
            <w:vAlign w:val="center"/>
            <w:hideMark/>
          </w:tcPr>
          <w:p w:rsidR="00850587" w:rsidRPr="00850587" w:rsidRDefault="00850587" w:rsidP="002F5F39">
            <w:pPr>
              <w:jc w:val="center"/>
            </w:pPr>
            <w:r w:rsidRPr="00850587">
              <w:t>Максимальная мощность по предложению предприятия, МВт</w:t>
            </w:r>
          </w:p>
        </w:tc>
        <w:tc>
          <w:tcPr>
            <w:tcW w:w="2880" w:type="dxa"/>
            <w:tcBorders>
              <w:top w:val="single" w:sz="8" w:space="0" w:color="auto"/>
              <w:left w:val="single" w:sz="4" w:space="0" w:color="auto"/>
              <w:bottom w:val="single" w:sz="8" w:space="0" w:color="auto"/>
              <w:right w:val="single" w:sz="4" w:space="0" w:color="auto"/>
            </w:tcBorders>
            <w:vAlign w:val="center"/>
            <w:hideMark/>
          </w:tcPr>
          <w:p w:rsidR="00850587" w:rsidRPr="00850587" w:rsidRDefault="00850587" w:rsidP="002F5F39">
            <w:pPr>
              <w:jc w:val="center"/>
            </w:pPr>
            <w:r w:rsidRPr="00850587">
              <w:t>Максимальная мощность, по мнению эксперта технического отдела, МВт</w:t>
            </w:r>
          </w:p>
        </w:tc>
        <w:tc>
          <w:tcPr>
            <w:tcW w:w="3420" w:type="dxa"/>
            <w:tcBorders>
              <w:top w:val="single" w:sz="8" w:space="0" w:color="auto"/>
              <w:left w:val="single" w:sz="4" w:space="0" w:color="auto"/>
              <w:bottom w:val="single" w:sz="8" w:space="0" w:color="auto"/>
              <w:right w:val="single" w:sz="4" w:space="0" w:color="auto"/>
            </w:tcBorders>
            <w:vAlign w:val="center"/>
            <w:hideMark/>
          </w:tcPr>
          <w:p w:rsidR="00850587" w:rsidRPr="00850587" w:rsidRDefault="00850587" w:rsidP="002F5F39">
            <w:pPr>
              <w:jc w:val="center"/>
            </w:pPr>
            <w:r w:rsidRPr="00850587">
              <w:t>Величина корректировки мощности, МВт</w:t>
            </w:r>
          </w:p>
        </w:tc>
      </w:tr>
      <w:tr w:rsidR="00850587" w:rsidRPr="00850587" w:rsidTr="00214B99">
        <w:trPr>
          <w:trHeight w:val="429"/>
          <w:jc w:val="center"/>
        </w:trPr>
        <w:tc>
          <w:tcPr>
            <w:tcW w:w="3070" w:type="dxa"/>
            <w:tcBorders>
              <w:top w:val="single" w:sz="8" w:space="0" w:color="auto"/>
              <w:left w:val="single" w:sz="8" w:space="0" w:color="auto"/>
              <w:bottom w:val="single" w:sz="4" w:space="0" w:color="auto"/>
              <w:right w:val="single" w:sz="4" w:space="0" w:color="auto"/>
            </w:tcBorders>
            <w:vAlign w:val="center"/>
            <w:hideMark/>
          </w:tcPr>
          <w:p w:rsidR="00850587" w:rsidRPr="00850587" w:rsidRDefault="00850587" w:rsidP="002F5F39">
            <w:pPr>
              <w:jc w:val="center"/>
            </w:pPr>
            <w:r w:rsidRPr="00850587">
              <w:t>37,43</w:t>
            </w:r>
          </w:p>
        </w:tc>
        <w:tc>
          <w:tcPr>
            <w:tcW w:w="2880" w:type="dxa"/>
            <w:tcBorders>
              <w:top w:val="single" w:sz="8" w:space="0" w:color="auto"/>
              <w:left w:val="single" w:sz="4" w:space="0" w:color="auto"/>
              <w:bottom w:val="single" w:sz="4" w:space="0" w:color="auto"/>
              <w:right w:val="single" w:sz="4" w:space="0" w:color="auto"/>
            </w:tcBorders>
            <w:vAlign w:val="center"/>
            <w:hideMark/>
          </w:tcPr>
          <w:p w:rsidR="00850587" w:rsidRPr="00850587" w:rsidRDefault="00850587" w:rsidP="002F5F39">
            <w:pPr>
              <w:jc w:val="center"/>
            </w:pPr>
            <w:r w:rsidRPr="00850587">
              <w:t>37,43</w:t>
            </w:r>
          </w:p>
        </w:tc>
        <w:tc>
          <w:tcPr>
            <w:tcW w:w="3420" w:type="dxa"/>
            <w:tcBorders>
              <w:top w:val="single" w:sz="8" w:space="0" w:color="auto"/>
              <w:left w:val="single" w:sz="4" w:space="0" w:color="auto"/>
              <w:bottom w:val="single" w:sz="4" w:space="0" w:color="auto"/>
              <w:right w:val="single" w:sz="4" w:space="0" w:color="auto"/>
            </w:tcBorders>
            <w:vAlign w:val="center"/>
            <w:hideMark/>
          </w:tcPr>
          <w:p w:rsidR="00850587" w:rsidRPr="00850587" w:rsidRDefault="00850587" w:rsidP="002F5F39">
            <w:pPr>
              <w:jc w:val="center"/>
            </w:pPr>
            <w:r w:rsidRPr="00850587">
              <w:t>0</w:t>
            </w:r>
          </w:p>
        </w:tc>
      </w:tr>
    </w:tbl>
    <w:p w:rsidR="00850587" w:rsidRPr="00850587" w:rsidRDefault="00850587" w:rsidP="00850587">
      <w:pPr>
        <w:jc w:val="both"/>
      </w:pPr>
    </w:p>
    <w:p w:rsidR="00850587" w:rsidRPr="00850587" w:rsidRDefault="00850587" w:rsidP="00850587">
      <w:pPr>
        <w:jc w:val="center"/>
        <w:rPr>
          <w:b/>
        </w:rPr>
      </w:pPr>
      <w:r w:rsidRPr="00850587">
        <w:rPr>
          <w:b/>
        </w:rPr>
        <w:t>Объем капитальных вложений</w:t>
      </w:r>
    </w:p>
    <w:p w:rsidR="00850587" w:rsidRPr="00850587" w:rsidRDefault="00850587" w:rsidP="00850587">
      <w:pPr>
        <w:jc w:val="center"/>
        <w:rPr>
          <w:b/>
        </w:rPr>
      </w:pPr>
    </w:p>
    <w:p w:rsidR="00850587" w:rsidRPr="00850587" w:rsidRDefault="00850587" w:rsidP="00850587">
      <w:pPr>
        <w:ind w:firstLine="720"/>
        <w:jc w:val="both"/>
      </w:pPr>
      <w:r w:rsidRPr="00850587">
        <w:t xml:space="preserve">В соответствии с представленным Обществом расчетом необходимой валовой выручки и прилагаемым укрупнённым сметным расчетом, объем капитальных вложений для осуществления технологического присоединения </w:t>
      </w:r>
      <w:proofErr w:type="spellStart"/>
      <w:r w:rsidRPr="00850587">
        <w:t>энергопринимающих</w:t>
      </w:r>
      <w:proofErr w:type="spellEnd"/>
      <w:r w:rsidRPr="00850587">
        <w:t xml:space="preserve"> устройств ООО «КВД </w:t>
      </w:r>
      <w:proofErr w:type="spellStart"/>
      <w:r w:rsidRPr="00850587">
        <w:t>Яшкинские</w:t>
      </w:r>
      <w:proofErr w:type="spellEnd"/>
      <w:r w:rsidRPr="00850587">
        <w:t xml:space="preserve"> Теплицы» для энергоснабжения тепличного комплекса и птицефабрики, сетевой организации необходимо – 89 095,12 тыс. руб.  (расчет произведен в текущих ценах 2001г.), (в текущих ценах – 672 766,36 тыс.</w:t>
      </w:r>
      <w:r w:rsidR="0095197F">
        <w:t xml:space="preserve"> </w:t>
      </w:r>
      <w:proofErr w:type="spellStart"/>
      <w:r w:rsidRPr="00850587">
        <w:t>руб</w:t>
      </w:r>
      <w:proofErr w:type="spellEnd"/>
      <w:r w:rsidRPr="00850587">
        <w:t>) из них:</w:t>
      </w:r>
    </w:p>
    <w:p w:rsidR="00850587" w:rsidRPr="00850587" w:rsidRDefault="00850587" w:rsidP="00850587">
      <w:pPr>
        <w:numPr>
          <w:ilvl w:val="0"/>
          <w:numId w:val="10"/>
        </w:numPr>
        <w:jc w:val="both"/>
      </w:pPr>
      <w:r w:rsidRPr="00850587">
        <w:t>Отвод и аренда земли – 236,03 тыс. руб.;</w:t>
      </w:r>
    </w:p>
    <w:p w:rsidR="00850587" w:rsidRPr="00850587" w:rsidRDefault="00850587" w:rsidP="00850587">
      <w:pPr>
        <w:numPr>
          <w:ilvl w:val="0"/>
          <w:numId w:val="10"/>
        </w:numPr>
        <w:jc w:val="both"/>
      </w:pPr>
      <w:r w:rsidRPr="00850587">
        <w:lastRenderedPageBreak/>
        <w:t xml:space="preserve">Строительство ПС </w:t>
      </w:r>
      <w:proofErr w:type="spellStart"/>
      <w:r w:rsidRPr="00850587">
        <w:t>Поломошная</w:t>
      </w:r>
      <w:proofErr w:type="spellEnd"/>
      <w:r w:rsidRPr="00850587">
        <w:t xml:space="preserve"> с двумя трансформаторами мощностью 40МВА каждый – 65 528,24 тыс. руб.;</w:t>
      </w:r>
    </w:p>
    <w:p w:rsidR="00850587" w:rsidRPr="00850587" w:rsidRDefault="00850587" w:rsidP="00850587">
      <w:pPr>
        <w:numPr>
          <w:ilvl w:val="0"/>
          <w:numId w:val="10"/>
        </w:numPr>
        <w:jc w:val="both"/>
      </w:pPr>
      <w:r w:rsidRPr="00850587">
        <w:t xml:space="preserve">Строительство </w:t>
      </w:r>
      <w:proofErr w:type="spellStart"/>
      <w:r w:rsidRPr="00850587">
        <w:t>шлейфового</w:t>
      </w:r>
      <w:proofErr w:type="spellEnd"/>
      <w:r w:rsidRPr="00850587">
        <w:t xml:space="preserve"> захода ВЛ-110кВ (4км) проводом АС185/24 – 6 865,73 тыс. руб.;</w:t>
      </w:r>
    </w:p>
    <w:p w:rsidR="00850587" w:rsidRPr="00850587" w:rsidRDefault="00850587" w:rsidP="00850587">
      <w:pPr>
        <w:numPr>
          <w:ilvl w:val="0"/>
          <w:numId w:val="10"/>
        </w:numPr>
        <w:jc w:val="both"/>
      </w:pPr>
      <w:r w:rsidRPr="00850587">
        <w:t>Благоустройство территории – 1 089,45 тыс. руб.;</w:t>
      </w:r>
    </w:p>
    <w:p w:rsidR="00850587" w:rsidRPr="00850587" w:rsidRDefault="00850587" w:rsidP="00850587">
      <w:pPr>
        <w:numPr>
          <w:ilvl w:val="0"/>
          <w:numId w:val="10"/>
        </w:numPr>
        <w:jc w:val="both"/>
      </w:pPr>
      <w:r w:rsidRPr="00850587">
        <w:t>Добровольное страхование рисков – 737,19 тыс. руб.;</w:t>
      </w:r>
    </w:p>
    <w:p w:rsidR="00850587" w:rsidRPr="00850587" w:rsidRDefault="00850587" w:rsidP="00850587">
      <w:pPr>
        <w:numPr>
          <w:ilvl w:val="0"/>
          <w:numId w:val="10"/>
        </w:numPr>
        <w:jc w:val="both"/>
      </w:pPr>
      <w:r w:rsidRPr="00850587">
        <w:t>Коэффициент на регионально-климатические условия</w:t>
      </w:r>
      <w:proofErr w:type="gramStart"/>
      <w:r w:rsidRPr="00850587">
        <w:t xml:space="preserve"> К</w:t>
      </w:r>
      <w:proofErr w:type="gramEnd"/>
      <w:r w:rsidRPr="00850587">
        <w:t>=1,09 – 2 240,88 тыс. руб.;</w:t>
      </w:r>
    </w:p>
    <w:p w:rsidR="00850587" w:rsidRPr="00850587" w:rsidRDefault="00850587" w:rsidP="00850587">
      <w:pPr>
        <w:numPr>
          <w:ilvl w:val="0"/>
          <w:numId w:val="10"/>
        </w:numPr>
        <w:jc w:val="both"/>
      </w:pPr>
      <w:r w:rsidRPr="00850587">
        <w:t>Пуско-наладочные работы – 2 987,46 тыс. руб.;</w:t>
      </w:r>
    </w:p>
    <w:p w:rsidR="00850587" w:rsidRPr="00850587" w:rsidRDefault="00850587" w:rsidP="00850587">
      <w:pPr>
        <w:numPr>
          <w:ilvl w:val="0"/>
          <w:numId w:val="10"/>
        </w:numPr>
        <w:jc w:val="both"/>
      </w:pPr>
      <w:r w:rsidRPr="00850587">
        <w:t>Содержание службы заказчика-застройщика – 301,34тыс. руб.;</w:t>
      </w:r>
    </w:p>
    <w:p w:rsidR="00850587" w:rsidRPr="00850587" w:rsidRDefault="00850587" w:rsidP="00850587">
      <w:pPr>
        <w:numPr>
          <w:ilvl w:val="0"/>
          <w:numId w:val="10"/>
        </w:numPr>
        <w:jc w:val="both"/>
      </w:pPr>
      <w:r w:rsidRPr="00850587">
        <w:t>Проектные и изыскательские работы 6 513,79 тыс. руб.;</w:t>
      </w:r>
    </w:p>
    <w:p w:rsidR="00850587" w:rsidRPr="00850587" w:rsidRDefault="00850587" w:rsidP="00850587">
      <w:pPr>
        <w:numPr>
          <w:ilvl w:val="0"/>
          <w:numId w:val="10"/>
        </w:numPr>
        <w:jc w:val="both"/>
      </w:pPr>
      <w:r w:rsidRPr="00850587">
        <w:t xml:space="preserve">Средства на непредвиденные работы и затраты – 2 595,01 тыс. руб.; </w:t>
      </w:r>
    </w:p>
    <w:p w:rsidR="00850587" w:rsidRPr="00850587" w:rsidRDefault="00850587" w:rsidP="00850587">
      <w:pPr>
        <w:ind w:left="1440"/>
        <w:jc w:val="both"/>
      </w:pPr>
    </w:p>
    <w:p w:rsidR="00850587" w:rsidRPr="00850587" w:rsidRDefault="00850587" w:rsidP="00850587">
      <w:pPr>
        <w:ind w:firstLine="539"/>
        <w:rPr>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1907"/>
        <w:gridCol w:w="1761"/>
        <w:gridCol w:w="1615"/>
      </w:tblGrid>
      <w:tr w:rsidR="00850587" w:rsidRPr="00214B99" w:rsidTr="00214B99">
        <w:trPr>
          <w:trHeight w:val="699"/>
          <w:jc w:val="center"/>
        </w:trPr>
        <w:tc>
          <w:tcPr>
            <w:tcW w:w="4962" w:type="dxa"/>
            <w:tcBorders>
              <w:top w:val="single" w:sz="4" w:space="0" w:color="auto"/>
              <w:left w:val="single" w:sz="4" w:space="0" w:color="auto"/>
              <w:bottom w:val="single" w:sz="4" w:space="0" w:color="auto"/>
              <w:right w:val="single" w:sz="4" w:space="0" w:color="auto"/>
            </w:tcBorders>
            <w:vAlign w:val="center"/>
            <w:hideMark/>
          </w:tcPr>
          <w:p w:rsidR="00850587" w:rsidRPr="00214B99" w:rsidRDefault="00850587" w:rsidP="002F5F39">
            <w:pPr>
              <w:widowControl w:val="0"/>
              <w:autoSpaceDE w:val="0"/>
              <w:autoSpaceDN w:val="0"/>
              <w:adjustRightInd w:val="0"/>
              <w:jc w:val="center"/>
              <w:rPr>
                <w:sz w:val="20"/>
                <w:szCs w:val="20"/>
              </w:rPr>
            </w:pPr>
            <w:r w:rsidRPr="00214B99">
              <w:rPr>
                <w:sz w:val="20"/>
                <w:szCs w:val="20"/>
              </w:rPr>
              <w:t>Мероприятие</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Предложение предприятия, 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587" w:rsidRPr="00214B99" w:rsidRDefault="00850587" w:rsidP="002F5F39">
            <w:pPr>
              <w:widowControl w:val="0"/>
              <w:autoSpaceDE w:val="0"/>
              <w:autoSpaceDN w:val="0"/>
              <w:adjustRightInd w:val="0"/>
              <w:jc w:val="center"/>
              <w:rPr>
                <w:sz w:val="20"/>
                <w:szCs w:val="20"/>
              </w:rPr>
            </w:pPr>
            <w:r w:rsidRPr="00214B99">
              <w:rPr>
                <w:sz w:val="20"/>
                <w:szCs w:val="20"/>
              </w:rPr>
              <w:t>Предложение эксперта технического отдела, тыс. 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0587" w:rsidRPr="00214B99" w:rsidRDefault="00850587" w:rsidP="002F5F39">
            <w:pPr>
              <w:widowControl w:val="0"/>
              <w:autoSpaceDE w:val="0"/>
              <w:autoSpaceDN w:val="0"/>
              <w:adjustRightInd w:val="0"/>
              <w:jc w:val="center"/>
              <w:rPr>
                <w:sz w:val="20"/>
                <w:szCs w:val="20"/>
              </w:rPr>
            </w:pPr>
            <w:r w:rsidRPr="00214B99">
              <w:rPr>
                <w:sz w:val="20"/>
                <w:szCs w:val="20"/>
              </w:rPr>
              <w:t>Корректировка, тыс. руб.</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Затраты на отвод земли, аренду и т.п.</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236,03</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- 236, 03</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 xml:space="preserve">Строительство ПС </w:t>
            </w:r>
            <w:proofErr w:type="spellStart"/>
            <w:r w:rsidRPr="00214B99">
              <w:rPr>
                <w:sz w:val="20"/>
                <w:szCs w:val="20"/>
              </w:rPr>
              <w:t>Поломошная</w:t>
            </w:r>
            <w:proofErr w:type="spellEnd"/>
            <w:r w:rsidRPr="00214B99">
              <w:rPr>
                <w:sz w:val="20"/>
                <w:szCs w:val="20"/>
              </w:rPr>
              <w:t xml:space="preserve"> с двумя трансформаторами </w:t>
            </w:r>
            <w:proofErr w:type="spellStart"/>
            <w:r w:rsidRPr="00214B99">
              <w:rPr>
                <w:sz w:val="20"/>
                <w:szCs w:val="20"/>
              </w:rPr>
              <w:t>мощн</w:t>
            </w:r>
            <w:proofErr w:type="spellEnd"/>
            <w:r w:rsidRPr="00214B99">
              <w:rPr>
                <w:sz w:val="20"/>
                <w:szCs w:val="20"/>
              </w:rPr>
              <w:t>. 40 МВА каждый</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65 528,24</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65 528,24</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 xml:space="preserve">Строительство </w:t>
            </w:r>
            <w:proofErr w:type="spellStart"/>
            <w:r w:rsidRPr="00214B99">
              <w:rPr>
                <w:sz w:val="20"/>
                <w:szCs w:val="20"/>
              </w:rPr>
              <w:t>шлейфового</w:t>
            </w:r>
            <w:proofErr w:type="spellEnd"/>
            <w:r w:rsidRPr="00214B99">
              <w:rPr>
                <w:sz w:val="20"/>
                <w:szCs w:val="20"/>
              </w:rPr>
              <w:t xml:space="preserve"> захода ВЛ-110 </w:t>
            </w:r>
            <w:proofErr w:type="spellStart"/>
            <w:r w:rsidRPr="00214B99">
              <w:rPr>
                <w:sz w:val="20"/>
                <w:szCs w:val="20"/>
              </w:rPr>
              <w:t>кВ</w:t>
            </w:r>
            <w:proofErr w:type="spellEnd"/>
            <w:r w:rsidRPr="00214B99">
              <w:rPr>
                <w:sz w:val="20"/>
                <w:szCs w:val="20"/>
              </w:rPr>
              <w:t xml:space="preserve"> </w:t>
            </w:r>
            <w:r w:rsidRPr="00214B99">
              <w:rPr>
                <w:sz w:val="20"/>
                <w:szCs w:val="20"/>
                <w:lang w:val="en-US"/>
              </w:rPr>
              <w:t>L</w:t>
            </w:r>
            <w:r w:rsidRPr="00214B99">
              <w:rPr>
                <w:sz w:val="20"/>
                <w:szCs w:val="20"/>
              </w:rPr>
              <w:t>=4км проводом АС 185/24</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6 865,73</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6 865,73</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Благоустройство территории</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1 089,45</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1 089,45</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Добровольное страхование строительных рисков</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737,19</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- 737,19</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Коэффициент на регионально-климатические условия</w:t>
            </w:r>
            <w:proofErr w:type="gramStart"/>
            <w:r w:rsidRPr="00214B99">
              <w:rPr>
                <w:sz w:val="20"/>
                <w:szCs w:val="20"/>
              </w:rPr>
              <w:t xml:space="preserve"> К</w:t>
            </w:r>
            <w:proofErr w:type="gramEnd"/>
            <w:r w:rsidRPr="00214B99">
              <w:rPr>
                <w:sz w:val="20"/>
                <w:szCs w:val="20"/>
              </w:rPr>
              <w:t>=1,09</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2 240,88</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2 240,88</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Пуско-наладочные работы</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2 987,46</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2 987,46</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Содержание службы заказчика-застройщика</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301,34</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301,34</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Проектные и изыскательские работы</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6 513,79</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6 513,79</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Средства на непредвиденные работы и затраты</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2 595,01</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- 2 595,01</w:t>
            </w:r>
          </w:p>
        </w:tc>
      </w:tr>
      <w:tr w:rsidR="00850587" w:rsidRPr="00214B99" w:rsidTr="00214B99">
        <w:trPr>
          <w:jc w:val="center"/>
        </w:trPr>
        <w:tc>
          <w:tcPr>
            <w:tcW w:w="4962" w:type="dxa"/>
            <w:tcBorders>
              <w:top w:val="single" w:sz="4" w:space="0" w:color="auto"/>
              <w:left w:val="single" w:sz="4" w:space="0" w:color="auto"/>
              <w:bottom w:val="single" w:sz="4" w:space="0" w:color="auto"/>
              <w:right w:val="single" w:sz="4" w:space="0" w:color="auto"/>
            </w:tcBorders>
          </w:tcPr>
          <w:p w:rsidR="00850587" w:rsidRPr="00214B99" w:rsidRDefault="00850587" w:rsidP="002F5F39">
            <w:pPr>
              <w:widowControl w:val="0"/>
              <w:autoSpaceDE w:val="0"/>
              <w:autoSpaceDN w:val="0"/>
              <w:adjustRightInd w:val="0"/>
              <w:rPr>
                <w:sz w:val="20"/>
                <w:szCs w:val="20"/>
              </w:rPr>
            </w:pPr>
            <w:r w:rsidRPr="00214B99">
              <w:rPr>
                <w:sz w:val="20"/>
                <w:szCs w:val="20"/>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89 095,12</w:t>
            </w:r>
          </w:p>
        </w:tc>
        <w:tc>
          <w:tcPr>
            <w:tcW w:w="1701"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85 526,89</w:t>
            </w:r>
          </w:p>
        </w:tc>
        <w:tc>
          <w:tcPr>
            <w:tcW w:w="1560" w:type="dxa"/>
            <w:tcBorders>
              <w:top w:val="single" w:sz="4" w:space="0" w:color="auto"/>
              <w:left w:val="single" w:sz="4" w:space="0" w:color="auto"/>
              <w:bottom w:val="single" w:sz="4" w:space="0" w:color="auto"/>
              <w:right w:val="single" w:sz="4" w:space="0" w:color="auto"/>
            </w:tcBorders>
            <w:vAlign w:val="center"/>
          </w:tcPr>
          <w:p w:rsidR="00850587" w:rsidRPr="00214B99" w:rsidRDefault="00850587" w:rsidP="002F5F39">
            <w:pPr>
              <w:widowControl w:val="0"/>
              <w:autoSpaceDE w:val="0"/>
              <w:autoSpaceDN w:val="0"/>
              <w:adjustRightInd w:val="0"/>
              <w:jc w:val="center"/>
              <w:rPr>
                <w:sz w:val="20"/>
                <w:szCs w:val="20"/>
              </w:rPr>
            </w:pPr>
            <w:r w:rsidRPr="00214B99">
              <w:rPr>
                <w:sz w:val="20"/>
                <w:szCs w:val="20"/>
              </w:rPr>
              <w:t>- 3 568,23</w:t>
            </w:r>
          </w:p>
        </w:tc>
      </w:tr>
    </w:tbl>
    <w:p w:rsidR="00850587" w:rsidRPr="00850587" w:rsidRDefault="00850587" w:rsidP="00850587">
      <w:pPr>
        <w:rPr>
          <w:highlight w:val="yellow"/>
        </w:rPr>
      </w:pPr>
    </w:p>
    <w:p w:rsidR="00850587" w:rsidRPr="00850587" w:rsidRDefault="00850587" w:rsidP="00850587">
      <w:pPr>
        <w:ind w:left="786"/>
        <w:jc w:val="both"/>
      </w:pPr>
      <w:r w:rsidRPr="00850587">
        <w:t xml:space="preserve">В результате анализа сметной документации эксперт технического отдела предлагает при расчете платы не учитывать –  </w:t>
      </w:r>
      <w:r w:rsidRPr="00850587">
        <w:rPr>
          <w:b/>
        </w:rPr>
        <w:t>3 568,23 тыс. руб.</w:t>
      </w:r>
      <w:r w:rsidRPr="00850587">
        <w:t>:</w:t>
      </w:r>
    </w:p>
    <w:p w:rsidR="00850587" w:rsidRPr="00850587" w:rsidRDefault="00850587" w:rsidP="00850587">
      <w:pPr>
        <w:ind w:left="786"/>
        <w:jc w:val="both"/>
      </w:pPr>
    </w:p>
    <w:p w:rsidR="00850587" w:rsidRPr="00850587" w:rsidRDefault="00850587" w:rsidP="00850587">
      <w:pPr>
        <w:numPr>
          <w:ilvl w:val="0"/>
          <w:numId w:val="4"/>
        </w:numPr>
        <w:jc w:val="both"/>
      </w:pPr>
      <w:r w:rsidRPr="00850587">
        <w:t xml:space="preserve">Средства на отвод и аренду земли, т.к. ФСТ России высказала свою позицию о том, что в включение расходов на отвод и аренду земельных участков на период проектирования и строительства не представляется возможным, предлагаем данные затраты в </w:t>
      </w:r>
      <w:r w:rsidR="0095197F" w:rsidRPr="00850587">
        <w:t xml:space="preserve">сумме </w:t>
      </w:r>
      <w:r w:rsidR="0095197F" w:rsidRPr="0095197F">
        <w:rPr>
          <w:b/>
        </w:rPr>
        <w:t>236</w:t>
      </w:r>
      <w:r w:rsidRPr="00850587">
        <w:rPr>
          <w:b/>
        </w:rPr>
        <w:t>,03</w:t>
      </w:r>
      <w:r w:rsidRPr="00850587">
        <w:t xml:space="preserve"> </w:t>
      </w:r>
      <w:r w:rsidRPr="00850587">
        <w:rPr>
          <w:bCs/>
        </w:rPr>
        <w:t>тыс. руб.</w:t>
      </w:r>
      <w:r w:rsidRPr="00850587">
        <w:t xml:space="preserve"> исключить.</w:t>
      </w:r>
    </w:p>
    <w:p w:rsidR="00850587" w:rsidRPr="00850587" w:rsidRDefault="00850587" w:rsidP="00850587">
      <w:pPr>
        <w:ind w:left="786"/>
        <w:jc w:val="both"/>
        <w:rPr>
          <w:highlight w:val="yellow"/>
        </w:rPr>
      </w:pPr>
    </w:p>
    <w:p w:rsidR="00850587" w:rsidRPr="00850587" w:rsidRDefault="00850587" w:rsidP="00850587">
      <w:pPr>
        <w:numPr>
          <w:ilvl w:val="0"/>
          <w:numId w:val="4"/>
        </w:numPr>
        <w:tabs>
          <w:tab w:val="left" w:pos="709"/>
        </w:tabs>
        <w:jc w:val="both"/>
      </w:pPr>
      <w:r w:rsidRPr="00850587">
        <w:t xml:space="preserve">Средства на добровольное страхование строительных рисков в размере  </w:t>
      </w:r>
      <w:r w:rsidRPr="00850587">
        <w:rPr>
          <w:b/>
        </w:rPr>
        <w:t>737,19</w:t>
      </w:r>
      <w:r w:rsidRPr="00850587">
        <w:t xml:space="preserve"> тыс. руб.,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а подрядная организация определяется в результате конкурсной процедуры.</w:t>
      </w:r>
    </w:p>
    <w:p w:rsidR="00850587" w:rsidRPr="00850587" w:rsidRDefault="00850587" w:rsidP="00850587">
      <w:pPr>
        <w:tabs>
          <w:tab w:val="left" w:pos="709"/>
        </w:tabs>
        <w:ind w:left="786"/>
        <w:jc w:val="both"/>
      </w:pPr>
    </w:p>
    <w:p w:rsidR="00850587" w:rsidRPr="00850587" w:rsidRDefault="00850587" w:rsidP="00850587">
      <w:pPr>
        <w:numPr>
          <w:ilvl w:val="0"/>
          <w:numId w:val="4"/>
        </w:numPr>
        <w:jc w:val="both"/>
      </w:pPr>
      <w:r w:rsidRPr="00850587">
        <w:t xml:space="preserve">Величину средств на непредвиденные затраты в размере </w:t>
      </w:r>
      <w:r w:rsidRPr="00850587">
        <w:rPr>
          <w:b/>
        </w:rPr>
        <w:t xml:space="preserve">2 595,01 </w:t>
      </w:r>
      <w:r w:rsidRPr="00850587">
        <w:t xml:space="preserve"> тыс. руб.,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rsidR="00850587" w:rsidRPr="00850587" w:rsidRDefault="00850587" w:rsidP="00850587">
      <w:pPr>
        <w:pStyle w:val="a6"/>
        <w:ind w:left="708"/>
        <w:jc w:val="both"/>
        <w:rPr>
          <w:color w:val="000000"/>
        </w:rPr>
      </w:pPr>
      <w:r w:rsidRPr="00850587">
        <w:rPr>
          <w:color w:val="000000"/>
        </w:rPr>
        <w:lastRenderedPageBreak/>
        <w:t xml:space="preserve">Рассмотрев представленные материалы, эксперт технического отдела предлагает скорректировать объем капитальных вложений до величины: – 85 526,89 тыс. руб. (в ценах 2001г.) Для перевода в цены 4 квартала 2014 года применяем коэффициенты: </w:t>
      </w:r>
      <w:proofErr w:type="spellStart"/>
      <w:r w:rsidRPr="00850587">
        <w:rPr>
          <w:color w:val="000000"/>
        </w:rPr>
        <w:t>Ксмр</w:t>
      </w:r>
      <w:proofErr w:type="spellEnd"/>
      <w:r w:rsidRPr="00850587">
        <w:rPr>
          <w:color w:val="000000"/>
        </w:rPr>
        <w:t xml:space="preserve">=7,11; </w:t>
      </w:r>
      <w:proofErr w:type="spellStart"/>
      <w:r w:rsidRPr="00850587">
        <w:rPr>
          <w:color w:val="000000"/>
        </w:rPr>
        <w:t>Кобор</w:t>
      </w:r>
      <w:proofErr w:type="spellEnd"/>
      <w:r w:rsidRPr="00850587">
        <w:rPr>
          <w:color w:val="000000"/>
        </w:rPr>
        <w:t xml:space="preserve">=4,02; </w:t>
      </w:r>
      <w:proofErr w:type="spellStart"/>
      <w:r w:rsidRPr="00850587">
        <w:rPr>
          <w:color w:val="000000"/>
        </w:rPr>
        <w:t>Кпуск</w:t>
      </w:r>
      <w:proofErr w:type="spellEnd"/>
      <w:r w:rsidRPr="00850587">
        <w:rPr>
          <w:color w:val="000000"/>
        </w:rPr>
        <w:t xml:space="preserve">=14,6; Кпроч+7,9; </w:t>
      </w:r>
      <w:proofErr w:type="spellStart"/>
      <w:r w:rsidRPr="00850587">
        <w:rPr>
          <w:color w:val="000000"/>
        </w:rPr>
        <w:t>Кпроект</w:t>
      </w:r>
      <w:proofErr w:type="spellEnd"/>
      <w:r w:rsidRPr="00850587">
        <w:rPr>
          <w:color w:val="000000"/>
        </w:rPr>
        <w:t>=3,7  (Письмо Минстроя РФ №25374-ЮР/08 от 13.11.2014г.) получаем 488 275,43 тыс.</w:t>
      </w:r>
      <w:r w:rsidR="0095197F">
        <w:rPr>
          <w:color w:val="000000"/>
        </w:rPr>
        <w:t xml:space="preserve"> </w:t>
      </w:r>
      <w:proofErr w:type="spellStart"/>
      <w:r w:rsidRPr="00850587">
        <w:rPr>
          <w:color w:val="000000"/>
        </w:rPr>
        <w:t>руб</w:t>
      </w:r>
      <w:proofErr w:type="spellEnd"/>
    </w:p>
    <w:p w:rsidR="00850587" w:rsidRPr="00850587" w:rsidRDefault="00850587" w:rsidP="00850587">
      <w:pPr>
        <w:pStyle w:val="a6"/>
        <w:ind w:left="708"/>
        <w:jc w:val="both"/>
        <w:rPr>
          <w:color w:val="000000"/>
        </w:rPr>
      </w:pPr>
      <w:r w:rsidRPr="00850587">
        <w:rPr>
          <w:color w:val="000000"/>
        </w:rPr>
        <w:t xml:space="preserve">для перевода цен 4 квартала 2014 к ценам 2015г. Применяем К=1,051 (Приказ Минэкономразвития №26025-АВ/ДОЗИ от 22.010.2014г.) 513 177,47 </w:t>
      </w:r>
      <w:proofErr w:type="spellStart"/>
      <w:r w:rsidRPr="00850587">
        <w:rPr>
          <w:color w:val="000000"/>
        </w:rPr>
        <w:t>тыс.руб</w:t>
      </w:r>
      <w:proofErr w:type="spellEnd"/>
      <w:r w:rsidRPr="00850587">
        <w:rPr>
          <w:color w:val="000000"/>
        </w:rPr>
        <w:t xml:space="preserve"> (в текущих ценах)</w:t>
      </w:r>
    </w:p>
    <w:p w:rsidR="00850587" w:rsidRPr="00850587" w:rsidRDefault="00850587" w:rsidP="00850587">
      <w:pPr>
        <w:pStyle w:val="a6"/>
        <w:ind w:left="708"/>
        <w:jc w:val="both"/>
        <w:rPr>
          <w:color w:val="000000"/>
        </w:rPr>
      </w:pPr>
      <w:r w:rsidRPr="00850587">
        <w:rPr>
          <w:color w:val="000000"/>
        </w:rPr>
        <w:t xml:space="preserve">Общая корректировка в текущих ценах составила – 159 588,89 </w:t>
      </w:r>
      <w:proofErr w:type="spellStart"/>
      <w:r w:rsidRPr="00850587">
        <w:rPr>
          <w:color w:val="000000"/>
        </w:rPr>
        <w:t>тыс.руб</w:t>
      </w:r>
      <w:proofErr w:type="spellEnd"/>
      <w:r w:rsidRPr="00850587">
        <w:rPr>
          <w:color w:val="000000"/>
        </w:rPr>
        <w:t>.</w:t>
      </w:r>
      <w:r w:rsidRPr="0095197F">
        <w:rPr>
          <w:color w:val="000000"/>
        </w:rPr>
        <w:t>:</w:t>
      </w:r>
    </w:p>
    <w:tbl>
      <w:tblPr>
        <w:tblW w:w="5000" w:type="pct"/>
        <w:jc w:val="center"/>
        <w:tblLayout w:type="fixed"/>
        <w:tblLook w:val="04A0" w:firstRow="1" w:lastRow="0" w:firstColumn="1" w:lastColumn="0" w:noHBand="0" w:noVBand="1"/>
      </w:tblPr>
      <w:tblGrid>
        <w:gridCol w:w="377"/>
        <w:gridCol w:w="1482"/>
        <w:gridCol w:w="941"/>
        <w:gridCol w:w="1001"/>
        <w:gridCol w:w="957"/>
        <w:gridCol w:w="899"/>
        <w:gridCol w:w="941"/>
        <w:gridCol w:w="883"/>
        <w:gridCol w:w="957"/>
        <w:gridCol w:w="908"/>
        <w:gridCol w:w="1075"/>
      </w:tblGrid>
      <w:tr w:rsidR="00850587" w:rsidRPr="00CE7026" w:rsidTr="002F5F39">
        <w:trPr>
          <w:trHeight w:val="1515"/>
          <w:jc w:val="center"/>
        </w:trPr>
        <w:tc>
          <w:tcPr>
            <w:tcW w:w="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 xml:space="preserve">№ </w:t>
            </w:r>
            <w:proofErr w:type="gramStart"/>
            <w:r w:rsidRPr="00CE7026">
              <w:rPr>
                <w:color w:val="000000"/>
                <w:sz w:val="16"/>
                <w:szCs w:val="16"/>
              </w:rPr>
              <w:t>п</w:t>
            </w:r>
            <w:proofErr w:type="gramEnd"/>
            <w:r w:rsidRPr="00CE7026">
              <w:rPr>
                <w:color w:val="000000"/>
                <w:sz w:val="16"/>
                <w:szCs w:val="16"/>
              </w:rPr>
              <w:t>/п</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Мероприятие</w:t>
            </w:r>
          </w:p>
        </w:tc>
        <w:tc>
          <w:tcPr>
            <w:tcW w:w="3798" w:type="dxa"/>
            <w:gridSpan w:val="4"/>
            <w:tcBorders>
              <w:top w:val="single" w:sz="4" w:space="0" w:color="auto"/>
              <w:left w:val="nil"/>
              <w:bottom w:val="single" w:sz="4" w:space="0" w:color="auto"/>
              <w:right w:val="single" w:sz="4" w:space="0" w:color="000000"/>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Предложение предприятия, тыс. руб.</w:t>
            </w:r>
          </w:p>
        </w:tc>
        <w:tc>
          <w:tcPr>
            <w:tcW w:w="3689" w:type="dxa"/>
            <w:gridSpan w:val="4"/>
            <w:tcBorders>
              <w:top w:val="single" w:sz="4" w:space="0" w:color="auto"/>
              <w:left w:val="nil"/>
              <w:bottom w:val="single" w:sz="4" w:space="0" w:color="auto"/>
              <w:right w:val="single" w:sz="4" w:space="0" w:color="000000"/>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Предложение эксперта технического отдела, тыс. руб.</w:t>
            </w:r>
          </w:p>
        </w:tc>
        <w:tc>
          <w:tcPr>
            <w:tcW w:w="10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Корректировка, тыс. руб.</w:t>
            </w:r>
          </w:p>
        </w:tc>
      </w:tr>
      <w:tr w:rsidR="00850587" w:rsidRPr="00CE7026" w:rsidTr="002F5F39">
        <w:trPr>
          <w:trHeight w:val="1500"/>
          <w:jc w:val="center"/>
        </w:trPr>
        <w:tc>
          <w:tcPr>
            <w:tcW w:w="377" w:type="dxa"/>
            <w:vMerge/>
            <w:tcBorders>
              <w:top w:val="single" w:sz="4" w:space="0" w:color="auto"/>
              <w:left w:val="single" w:sz="4" w:space="0" w:color="auto"/>
              <w:bottom w:val="single" w:sz="4" w:space="0" w:color="000000"/>
              <w:right w:val="single" w:sz="4" w:space="0" w:color="auto"/>
            </w:tcBorders>
            <w:vAlign w:val="center"/>
            <w:hideMark/>
          </w:tcPr>
          <w:p w:rsidR="00850587" w:rsidRPr="00CE7026" w:rsidRDefault="00850587" w:rsidP="002F5F39">
            <w:pPr>
              <w:jc w:val="center"/>
              <w:rPr>
                <w:color w:val="000000"/>
                <w:sz w:val="16"/>
                <w:szCs w:val="16"/>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850587" w:rsidRPr="00CE7026" w:rsidRDefault="00850587" w:rsidP="002F5F39">
            <w:pPr>
              <w:jc w:val="center"/>
              <w:rPr>
                <w:color w:val="000000"/>
                <w:sz w:val="16"/>
                <w:szCs w:val="16"/>
              </w:rPr>
            </w:pP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стр</w:t>
            </w:r>
            <w:proofErr w:type="gramStart"/>
            <w:r w:rsidRPr="00CE7026">
              <w:rPr>
                <w:color w:val="000000"/>
                <w:sz w:val="16"/>
                <w:szCs w:val="16"/>
              </w:rPr>
              <w:t>.-</w:t>
            </w:r>
            <w:proofErr w:type="gramEnd"/>
            <w:r w:rsidRPr="00CE7026">
              <w:rPr>
                <w:color w:val="000000"/>
                <w:sz w:val="16"/>
                <w:szCs w:val="16"/>
              </w:rPr>
              <w:t>монтажные работы</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proofErr w:type="spellStart"/>
            <w:r w:rsidRPr="00CE7026">
              <w:rPr>
                <w:color w:val="000000"/>
                <w:sz w:val="16"/>
                <w:szCs w:val="16"/>
              </w:rPr>
              <w:t>оборуд</w:t>
            </w:r>
            <w:proofErr w:type="spellEnd"/>
            <w:r w:rsidRPr="00CE7026">
              <w:rPr>
                <w:color w:val="000000"/>
                <w:sz w:val="16"/>
                <w:szCs w:val="16"/>
              </w:rPr>
              <w:t>,</w:t>
            </w:r>
          </w:p>
          <w:p w:rsidR="00850587" w:rsidRPr="00CE7026" w:rsidRDefault="00850587" w:rsidP="002F5F39">
            <w:pPr>
              <w:jc w:val="center"/>
              <w:rPr>
                <w:color w:val="000000"/>
                <w:sz w:val="16"/>
                <w:szCs w:val="16"/>
                <w:lang w:val="en-US"/>
              </w:rPr>
            </w:pPr>
            <w:r w:rsidRPr="00CE7026">
              <w:rPr>
                <w:color w:val="000000"/>
                <w:sz w:val="16"/>
                <w:szCs w:val="16"/>
              </w:rPr>
              <w:t>мебель,</w:t>
            </w:r>
            <w:r w:rsidRPr="00CE7026">
              <w:rPr>
                <w:color w:val="000000"/>
                <w:sz w:val="16"/>
                <w:szCs w:val="16"/>
                <w:lang w:val="en-US"/>
              </w:rPr>
              <w:t xml:space="preserve"> </w:t>
            </w:r>
            <w:r w:rsidRPr="00CE7026">
              <w:rPr>
                <w:color w:val="000000"/>
                <w:sz w:val="16"/>
                <w:szCs w:val="16"/>
              </w:rPr>
              <w:t>инвентарь</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прочие затраты</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Всего</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стр</w:t>
            </w:r>
            <w:proofErr w:type="gramStart"/>
            <w:r w:rsidRPr="00CE7026">
              <w:rPr>
                <w:color w:val="000000"/>
                <w:sz w:val="16"/>
                <w:szCs w:val="16"/>
              </w:rPr>
              <w:t>.-</w:t>
            </w:r>
            <w:proofErr w:type="gramEnd"/>
            <w:r w:rsidRPr="00CE7026">
              <w:rPr>
                <w:color w:val="000000"/>
                <w:sz w:val="16"/>
                <w:szCs w:val="16"/>
              </w:rPr>
              <w:t>монтажные работы</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proofErr w:type="spellStart"/>
            <w:r w:rsidRPr="00CE7026">
              <w:rPr>
                <w:color w:val="000000"/>
                <w:sz w:val="16"/>
                <w:szCs w:val="16"/>
              </w:rPr>
              <w:t>оборуд</w:t>
            </w:r>
            <w:proofErr w:type="spellEnd"/>
            <w:r w:rsidRPr="00CE7026">
              <w:rPr>
                <w:color w:val="000000"/>
                <w:sz w:val="16"/>
                <w:szCs w:val="16"/>
              </w:rPr>
              <w:t>, мебель,</w:t>
            </w:r>
          </w:p>
          <w:p w:rsidR="00850587" w:rsidRPr="00CE7026" w:rsidRDefault="00850587" w:rsidP="002F5F39">
            <w:pPr>
              <w:jc w:val="center"/>
              <w:rPr>
                <w:color w:val="000000"/>
                <w:sz w:val="16"/>
                <w:szCs w:val="16"/>
              </w:rPr>
            </w:pPr>
            <w:r w:rsidRPr="00CE7026">
              <w:rPr>
                <w:color w:val="000000"/>
                <w:sz w:val="16"/>
                <w:szCs w:val="16"/>
              </w:rPr>
              <w:t>инвентарь</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прочие затраты</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Всего</w:t>
            </w:r>
          </w:p>
        </w:tc>
        <w:tc>
          <w:tcPr>
            <w:tcW w:w="1075" w:type="dxa"/>
            <w:vMerge/>
            <w:tcBorders>
              <w:top w:val="single" w:sz="4" w:space="0" w:color="auto"/>
              <w:left w:val="single" w:sz="4" w:space="0" w:color="auto"/>
              <w:bottom w:val="single" w:sz="4" w:space="0" w:color="000000"/>
              <w:right w:val="single" w:sz="4" w:space="0" w:color="auto"/>
            </w:tcBorders>
            <w:vAlign w:val="center"/>
            <w:hideMark/>
          </w:tcPr>
          <w:p w:rsidR="00850587" w:rsidRPr="00CE7026" w:rsidRDefault="00850587" w:rsidP="002F5F39">
            <w:pPr>
              <w:jc w:val="center"/>
              <w:rPr>
                <w:color w:val="000000"/>
                <w:sz w:val="16"/>
                <w:szCs w:val="16"/>
              </w:rPr>
            </w:pP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Вырубка и подготовка просеки</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236,03</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236,03</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0,00</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236,03</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2</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 xml:space="preserve">Строительство </w:t>
            </w:r>
            <w:proofErr w:type="spellStart"/>
            <w:r w:rsidRPr="00CE7026">
              <w:rPr>
                <w:color w:val="000000"/>
                <w:sz w:val="16"/>
                <w:szCs w:val="16"/>
              </w:rPr>
              <w:t>шлейфового</w:t>
            </w:r>
            <w:proofErr w:type="spellEnd"/>
            <w:r w:rsidRPr="00CE7026">
              <w:rPr>
                <w:color w:val="000000"/>
                <w:sz w:val="16"/>
                <w:szCs w:val="16"/>
              </w:rPr>
              <w:t xml:space="preserve"> захода ВЛ-110кВ L=4км</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5 937,93</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927,80</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6 865,73</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5 937,93</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927,80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6 865,73</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3</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Строительство ПС С 2-мя трансформаторами 40МВА</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17 871,34</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40 955,15</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6 701,75</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65 528,24</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17 871,34</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40 955,15</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6 701,75</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65 528,24</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4</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Благоустройство территории</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1 089,45</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1 089,45</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1 089,45</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1 089,45</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5</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Добровольное страхование строительных рисков</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737,19</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737,19</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0,00</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737,19</w:t>
            </w:r>
          </w:p>
        </w:tc>
      </w:tr>
      <w:tr w:rsidR="00850587" w:rsidRPr="00CE7026" w:rsidTr="002F5F39">
        <w:trPr>
          <w:trHeight w:val="112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6</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 xml:space="preserve">Коэффициент на </w:t>
            </w:r>
            <w:proofErr w:type="spellStart"/>
            <w:r w:rsidRPr="00CE7026">
              <w:rPr>
                <w:color w:val="000000"/>
                <w:sz w:val="16"/>
                <w:szCs w:val="16"/>
              </w:rPr>
              <w:t>региональноклиматические</w:t>
            </w:r>
            <w:proofErr w:type="spellEnd"/>
            <w:r w:rsidRPr="00CE7026">
              <w:rPr>
                <w:color w:val="000000"/>
                <w:sz w:val="16"/>
                <w:szCs w:val="16"/>
              </w:rPr>
              <w:t xml:space="preserve"> условия</w:t>
            </w:r>
            <w:proofErr w:type="gramStart"/>
            <w:r w:rsidRPr="00CE7026">
              <w:rPr>
                <w:color w:val="000000"/>
                <w:sz w:val="16"/>
                <w:szCs w:val="16"/>
              </w:rPr>
              <w:t xml:space="preserve"> К</w:t>
            </w:r>
            <w:proofErr w:type="gramEnd"/>
            <w:r w:rsidRPr="00CE7026">
              <w:rPr>
                <w:color w:val="000000"/>
                <w:sz w:val="16"/>
                <w:szCs w:val="16"/>
              </w:rPr>
              <w:t>=1,09</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2 240,88</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2 240,88</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2 240,88</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2 240,88</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70"/>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7</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Пуско-наладочные работы (ПНР)</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2 987,46</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2 987,46</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2 987,46</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2 987,46</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8</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Содержание службы заказчика-застройщика</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301,35</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301,35</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301,35</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301,35</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lastRenderedPageBreak/>
              <w:t>9</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Проектные и изыскательские работы (ПИР)</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6 513,79</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6 513,79</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6 513,79</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6 513,79</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11</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Средства на непредвиденные работы и затраты</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814,19</w:t>
            </w:r>
          </w:p>
        </w:tc>
        <w:tc>
          <w:tcPr>
            <w:tcW w:w="100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1 228,65</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552,16</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2 595,01</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0,00</w:t>
            </w:r>
          </w:p>
        </w:tc>
        <w:tc>
          <w:tcPr>
            <w:tcW w:w="908"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0,00</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2 595,01</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12</w:t>
            </w:r>
          </w:p>
        </w:tc>
        <w:tc>
          <w:tcPr>
            <w:tcW w:w="1482"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Итого в ценах 2001 года</w:t>
            </w:r>
          </w:p>
        </w:tc>
        <w:tc>
          <w:tcPr>
            <w:tcW w:w="941"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27 953,78</w:t>
            </w:r>
          </w:p>
        </w:tc>
        <w:tc>
          <w:tcPr>
            <w:tcW w:w="100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42 183,81</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18 957,54</w:t>
            </w:r>
          </w:p>
        </w:tc>
        <w:tc>
          <w:tcPr>
            <w:tcW w:w="899"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89 095,13</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27 135,74</w:t>
            </w:r>
          </w:p>
        </w:tc>
        <w:tc>
          <w:tcPr>
            <w:tcW w:w="883"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40 955,15</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19 597,60</w:t>
            </w:r>
          </w:p>
        </w:tc>
        <w:tc>
          <w:tcPr>
            <w:tcW w:w="908"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85 526,90</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-3 568,23</w:t>
            </w:r>
          </w:p>
        </w:tc>
      </w:tr>
      <w:tr w:rsidR="00850587" w:rsidRPr="00CE7026" w:rsidTr="002F5F39">
        <w:trPr>
          <w:trHeight w:val="88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13</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коэффициенты пересчета в цены  IV квартала 2014г.</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7,11</w:t>
            </w:r>
          </w:p>
        </w:tc>
        <w:tc>
          <w:tcPr>
            <w:tcW w:w="100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4,02</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7,90</w:t>
            </w:r>
          </w:p>
        </w:tc>
        <w:tc>
          <w:tcPr>
            <w:tcW w:w="899"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7,11</w:t>
            </w:r>
          </w:p>
        </w:tc>
        <w:tc>
          <w:tcPr>
            <w:tcW w:w="883"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4,02</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7,90</w:t>
            </w:r>
          </w:p>
        </w:tc>
        <w:tc>
          <w:tcPr>
            <w:tcW w:w="908"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p>
        </w:tc>
      </w:tr>
      <w:tr w:rsidR="00850587" w:rsidRPr="00CE7026" w:rsidTr="002F5F39">
        <w:trPr>
          <w:trHeight w:val="1125"/>
          <w:jc w:val="center"/>
        </w:trPr>
        <w:tc>
          <w:tcPr>
            <w:tcW w:w="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 xml:space="preserve">коэффициент пересчета в цены  IV квартала 2014г. </w:t>
            </w:r>
            <w:proofErr w:type="gramStart"/>
            <w:r w:rsidRPr="00CE7026">
              <w:rPr>
                <w:color w:val="000000"/>
                <w:sz w:val="16"/>
                <w:szCs w:val="16"/>
              </w:rPr>
              <w:t>для</w:t>
            </w:r>
            <w:proofErr w:type="gramEnd"/>
            <w:r w:rsidRPr="00CE7026">
              <w:rPr>
                <w:color w:val="000000"/>
                <w:sz w:val="16"/>
                <w:szCs w:val="16"/>
              </w:rPr>
              <w:t xml:space="preserve"> ПИР</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3,70</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3,70</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p>
        </w:tc>
      </w:tr>
      <w:tr w:rsidR="00850587" w:rsidRPr="00CE7026" w:rsidTr="002F5F39">
        <w:trPr>
          <w:trHeight w:val="1125"/>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14</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коэффициент пересчета в цены  IV квартала 2014г. для ПНР</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100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14,600</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14,600</w:t>
            </w:r>
          </w:p>
        </w:tc>
        <w:tc>
          <w:tcPr>
            <w:tcW w:w="908"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p>
        </w:tc>
      </w:tr>
      <w:tr w:rsidR="00850587" w:rsidRPr="00CE7026" w:rsidTr="002F5F39">
        <w:trPr>
          <w:trHeight w:val="750"/>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95197F">
            <w:pPr>
              <w:jc w:val="center"/>
              <w:rPr>
                <w:color w:val="000000"/>
                <w:sz w:val="16"/>
                <w:szCs w:val="16"/>
              </w:rPr>
            </w:pPr>
            <w:r w:rsidRPr="00CE7026">
              <w:rPr>
                <w:color w:val="000000"/>
                <w:sz w:val="16"/>
                <w:szCs w:val="16"/>
              </w:rPr>
              <w:t>1</w:t>
            </w:r>
            <w:r w:rsidR="0095197F" w:rsidRPr="00CE7026">
              <w:rPr>
                <w:color w:val="000000"/>
                <w:sz w:val="16"/>
                <w:szCs w:val="16"/>
              </w:rPr>
              <w:t>5</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color w:val="000000"/>
                <w:sz w:val="16"/>
                <w:szCs w:val="16"/>
              </w:rPr>
            </w:pPr>
            <w:r w:rsidRPr="00CE7026">
              <w:rPr>
                <w:color w:val="000000"/>
                <w:sz w:val="16"/>
                <w:szCs w:val="16"/>
              </w:rPr>
              <w:t>всего в  ценах  IV квартала 2014г.</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183 279,33</w:t>
            </w:r>
          </w:p>
        </w:tc>
        <w:tc>
          <w:tcPr>
            <w:tcW w:w="100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169 578,90</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287 262,002</w:t>
            </w:r>
          </w:p>
        </w:tc>
        <w:tc>
          <w:tcPr>
            <w:tcW w:w="899"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640 120,23</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177 922,24</w:t>
            </w:r>
          </w:p>
        </w:tc>
        <w:tc>
          <w:tcPr>
            <w:tcW w:w="883"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164 639,71</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145 713,478</w:t>
            </w:r>
          </w:p>
        </w:tc>
        <w:tc>
          <w:tcPr>
            <w:tcW w:w="908"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488 275,43</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-151 844,80</w:t>
            </w:r>
          </w:p>
        </w:tc>
      </w:tr>
      <w:tr w:rsidR="00850587" w:rsidRPr="00CE7026" w:rsidTr="002F5F39">
        <w:trPr>
          <w:trHeight w:val="1380"/>
          <w:jc w:val="center"/>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16</w:t>
            </w:r>
          </w:p>
        </w:tc>
        <w:tc>
          <w:tcPr>
            <w:tcW w:w="1482"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Индекс дефлятор по отношению 2014г. К 2015г. И=1,051</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192 626,58</w:t>
            </w:r>
          </w:p>
        </w:tc>
        <w:tc>
          <w:tcPr>
            <w:tcW w:w="100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178 227,42</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301 912,36</w:t>
            </w:r>
          </w:p>
        </w:tc>
        <w:tc>
          <w:tcPr>
            <w:tcW w:w="899"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672 766,36</w:t>
            </w:r>
          </w:p>
        </w:tc>
        <w:tc>
          <w:tcPr>
            <w:tcW w:w="941"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186 996,28</w:t>
            </w:r>
          </w:p>
        </w:tc>
        <w:tc>
          <w:tcPr>
            <w:tcW w:w="883"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173 036,33</w:t>
            </w:r>
          </w:p>
        </w:tc>
        <w:tc>
          <w:tcPr>
            <w:tcW w:w="957"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color w:val="000000"/>
                <w:sz w:val="16"/>
                <w:szCs w:val="16"/>
              </w:rPr>
            </w:pPr>
            <w:r w:rsidRPr="00CE7026">
              <w:rPr>
                <w:color w:val="000000"/>
                <w:sz w:val="16"/>
                <w:szCs w:val="16"/>
              </w:rPr>
              <w:t>153 144,87</w:t>
            </w:r>
          </w:p>
        </w:tc>
        <w:tc>
          <w:tcPr>
            <w:tcW w:w="908" w:type="dxa"/>
            <w:tcBorders>
              <w:top w:val="nil"/>
              <w:left w:val="nil"/>
              <w:bottom w:val="single" w:sz="4" w:space="0" w:color="auto"/>
              <w:right w:val="single" w:sz="4" w:space="0" w:color="auto"/>
            </w:tcBorders>
            <w:shd w:val="clear" w:color="auto" w:fill="auto"/>
            <w:noWrap/>
            <w:vAlign w:val="center"/>
            <w:hideMark/>
          </w:tcPr>
          <w:p w:rsidR="00850587" w:rsidRPr="00CE7026" w:rsidRDefault="00850587" w:rsidP="002F5F39">
            <w:pPr>
              <w:jc w:val="center"/>
              <w:rPr>
                <w:bCs/>
                <w:color w:val="000000"/>
                <w:sz w:val="16"/>
                <w:szCs w:val="16"/>
              </w:rPr>
            </w:pPr>
            <w:r w:rsidRPr="00CE7026">
              <w:rPr>
                <w:bCs/>
                <w:color w:val="000000"/>
                <w:sz w:val="16"/>
                <w:szCs w:val="16"/>
              </w:rPr>
              <w:t>513 177,47</w:t>
            </w:r>
          </w:p>
        </w:tc>
        <w:tc>
          <w:tcPr>
            <w:tcW w:w="1075" w:type="dxa"/>
            <w:tcBorders>
              <w:top w:val="nil"/>
              <w:left w:val="nil"/>
              <w:bottom w:val="single" w:sz="4" w:space="0" w:color="auto"/>
              <w:right w:val="single" w:sz="4" w:space="0" w:color="auto"/>
            </w:tcBorders>
            <w:shd w:val="clear" w:color="auto" w:fill="auto"/>
            <w:vAlign w:val="center"/>
            <w:hideMark/>
          </w:tcPr>
          <w:p w:rsidR="00850587" w:rsidRPr="00CE7026" w:rsidRDefault="00850587" w:rsidP="002F5F39">
            <w:pPr>
              <w:jc w:val="center"/>
              <w:rPr>
                <w:bCs/>
                <w:color w:val="000000"/>
                <w:sz w:val="16"/>
                <w:szCs w:val="16"/>
              </w:rPr>
            </w:pPr>
            <w:r w:rsidRPr="00CE7026">
              <w:rPr>
                <w:bCs/>
                <w:color w:val="000000"/>
                <w:sz w:val="16"/>
                <w:szCs w:val="16"/>
              </w:rPr>
              <w:t>-159 588,89</w:t>
            </w:r>
          </w:p>
        </w:tc>
      </w:tr>
    </w:tbl>
    <w:p w:rsidR="00850587" w:rsidRPr="00850587" w:rsidRDefault="00850587" w:rsidP="00850587">
      <w:pPr>
        <w:pStyle w:val="a3"/>
        <w:tabs>
          <w:tab w:val="left" w:pos="993"/>
        </w:tabs>
        <w:autoSpaceDE w:val="0"/>
        <w:autoSpaceDN w:val="0"/>
        <w:adjustRightInd w:val="0"/>
        <w:ind w:left="0" w:firstLine="567"/>
        <w:jc w:val="both"/>
        <w:rPr>
          <w:color w:val="FF0000"/>
        </w:rPr>
      </w:pPr>
    </w:p>
    <w:p w:rsidR="00850587" w:rsidRPr="00850587" w:rsidRDefault="00850587" w:rsidP="00850587">
      <w:pPr>
        <w:ind w:firstLine="539"/>
        <w:jc w:val="center"/>
        <w:rPr>
          <w:b/>
        </w:rPr>
      </w:pPr>
    </w:p>
    <w:p w:rsidR="00850587" w:rsidRPr="00850587" w:rsidRDefault="00850587" w:rsidP="00850587">
      <w:pPr>
        <w:ind w:firstLine="539"/>
        <w:jc w:val="center"/>
        <w:rPr>
          <w:b/>
        </w:rPr>
      </w:pPr>
      <w:r w:rsidRPr="00850587">
        <w:rPr>
          <w:b/>
        </w:rPr>
        <w:t>Стоимость мероприятий, не включающих в себя строительство и реконструкцию объектов электросетевого хозяйства</w:t>
      </w:r>
    </w:p>
    <w:p w:rsidR="00850587" w:rsidRPr="00850587" w:rsidRDefault="00850587" w:rsidP="00850587">
      <w:pPr>
        <w:ind w:firstLine="539"/>
        <w:jc w:val="center"/>
        <w:rPr>
          <w:b/>
        </w:rPr>
      </w:pPr>
    </w:p>
    <w:p w:rsidR="00850587" w:rsidRPr="00850587" w:rsidRDefault="00850587" w:rsidP="00850587">
      <w:pPr>
        <w:autoSpaceDE w:val="0"/>
        <w:autoSpaceDN w:val="0"/>
        <w:adjustRightInd w:val="0"/>
        <w:ind w:firstLine="540"/>
        <w:jc w:val="both"/>
      </w:pPr>
      <w:r w:rsidRPr="00850587">
        <w:t xml:space="preserve">Общество предлагает затраты в НВВ за технологическое присоединение к электрическим сетям, в сумме 110`041,66 тыс. руб. без НДС. </w:t>
      </w:r>
    </w:p>
    <w:p w:rsidR="00850587" w:rsidRPr="00850587" w:rsidRDefault="00850587" w:rsidP="00850587">
      <w:pPr>
        <w:autoSpaceDE w:val="0"/>
        <w:autoSpaceDN w:val="0"/>
        <w:adjustRightInd w:val="0"/>
        <w:ind w:firstLine="540"/>
        <w:jc w:val="both"/>
      </w:pPr>
      <w:r w:rsidRPr="00850587">
        <w:t>По результатам рассмотрения представленных Обществом обосновывающих материалов экспертом отдела ценообразования предлагается произвести корректировку рассчитанной Обществом суммы затрат в НВВ в сторону снижения по следующим основаниям:</w:t>
      </w:r>
    </w:p>
    <w:p w:rsidR="00850587" w:rsidRPr="00850587" w:rsidRDefault="00850587" w:rsidP="00850587">
      <w:pPr>
        <w:pStyle w:val="a3"/>
        <w:numPr>
          <w:ilvl w:val="0"/>
          <w:numId w:val="8"/>
        </w:numPr>
        <w:tabs>
          <w:tab w:val="left" w:pos="993"/>
        </w:tabs>
        <w:autoSpaceDE w:val="0"/>
        <w:autoSpaceDN w:val="0"/>
        <w:adjustRightInd w:val="0"/>
        <w:ind w:left="0" w:firstLine="567"/>
        <w:contextualSpacing w:val="0"/>
        <w:jc w:val="both"/>
      </w:pPr>
      <w:r w:rsidRPr="00850587">
        <w:t>Общество в представленных материалах заявило заработную плату работников по виду деятельности передача электрической энергии в сумме 206 руб. в час, следовательно, заработная плата работников в месяц составляет 34`641 руб., что значительно выше средней заработной платы утвержденной РЭК на 2014 год для Общества. Эксперт отдела ценообразования предлагает принять среднемесячную заработную плату на одного сотрудника Общества утвержденную РЭК на 2015 год в сумме 28`830,58 руб., соответственно 175,52 руб. в час.</w:t>
      </w:r>
    </w:p>
    <w:p w:rsidR="00850587" w:rsidRPr="00850587" w:rsidRDefault="00850587" w:rsidP="00850587">
      <w:pPr>
        <w:pStyle w:val="a3"/>
        <w:tabs>
          <w:tab w:val="left" w:pos="993"/>
        </w:tabs>
        <w:autoSpaceDE w:val="0"/>
        <w:autoSpaceDN w:val="0"/>
        <w:adjustRightInd w:val="0"/>
        <w:ind w:left="1287"/>
        <w:jc w:val="both"/>
        <w:rPr>
          <w:color w:val="000000"/>
        </w:rPr>
      </w:pPr>
      <w:r w:rsidRPr="00850587">
        <w:rPr>
          <w:color w:val="000000"/>
        </w:rPr>
        <w:t xml:space="preserve">28830,58*12/1971=175,52 руб. </w:t>
      </w:r>
      <w:r w:rsidR="004F09B1">
        <w:rPr>
          <w:color w:val="000000"/>
        </w:rPr>
        <w:t xml:space="preserve">в </w:t>
      </w:r>
      <w:r w:rsidRPr="00850587">
        <w:rPr>
          <w:color w:val="000000"/>
        </w:rPr>
        <w:t>час</w:t>
      </w:r>
      <w:proofErr w:type="gramStart"/>
      <w:r w:rsidRPr="00850587">
        <w:rPr>
          <w:color w:val="000000"/>
        </w:rPr>
        <w:t xml:space="preserve">.; </w:t>
      </w:r>
      <w:proofErr w:type="gramEnd"/>
    </w:p>
    <w:p w:rsidR="00850587" w:rsidRPr="00850587" w:rsidRDefault="00850587" w:rsidP="00850587">
      <w:pPr>
        <w:pStyle w:val="a3"/>
        <w:tabs>
          <w:tab w:val="left" w:pos="993"/>
        </w:tabs>
        <w:autoSpaceDE w:val="0"/>
        <w:autoSpaceDN w:val="0"/>
        <w:adjustRightInd w:val="0"/>
        <w:ind w:left="567"/>
        <w:jc w:val="both"/>
        <w:rPr>
          <w:color w:val="000000"/>
        </w:rPr>
      </w:pPr>
      <w:r w:rsidRPr="00850587">
        <w:rPr>
          <w:color w:val="000000"/>
        </w:rPr>
        <w:t>12 - количество месяцев в году</w:t>
      </w:r>
    </w:p>
    <w:p w:rsidR="00850587" w:rsidRPr="00850587" w:rsidRDefault="00850587" w:rsidP="00850587">
      <w:pPr>
        <w:pStyle w:val="a3"/>
        <w:numPr>
          <w:ilvl w:val="0"/>
          <w:numId w:val="11"/>
        </w:numPr>
        <w:tabs>
          <w:tab w:val="left" w:pos="993"/>
        </w:tabs>
        <w:autoSpaceDE w:val="0"/>
        <w:autoSpaceDN w:val="0"/>
        <w:adjustRightInd w:val="0"/>
        <w:contextualSpacing w:val="0"/>
        <w:jc w:val="both"/>
        <w:rPr>
          <w:color w:val="000000"/>
        </w:rPr>
      </w:pPr>
      <w:r w:rsidRPr="00850587">
        <w:rPr>
          <w:color w:val="000000"/>
        </w:rPr>
        <w:t>- норма рабочего времени, утвержденная на 2015 год.</w:t>
      </w:r>
    </w:p>
    <w:p w:rsidR="00850587" w:rsidRPr="00850587" w:rsidRDefault="00850587" w:rsidP="00850587">
      <w:pPr>
        <w:pStyle w:val="a3"/>
        <w:tabs>
          <w:tab w:val="left" w:pos="993"/>
        </w:tabs>
        <w:autoSpaceDE w:val="0"/>
        <w:autoSpaceDN w:val="0"/>
        <w:adjustRightInd w:val="0"/>
        <w:ind w:left="0" w:firstLine="567"/>
        <w:jc w:val="both"/>
      </w:pPr>
      <w:r w:rsidRPr="00850587">
        <w:t>По данным Общества работы по технологическому присоединению будут производиться в течение 94 часов, из них 16 часов время отработанное водителем в пути до объекта ТП и обратно, 78 часов работы по ТП.</w:t>
      </w:r>
    </w:p>
    <w:p w:rsidR="00850587" w:rsidRPr="00850587" w:rsidRDefault="00850587" w:rsidP="00850587">
      <w:pPr>
        <w:pStyle w:val="a3"/>
        <w:tabs>
          <w:tab w:val="left" w:pos="993"/>
        </w:tabs>
        <w:autoSpaceDE w:val="0"/>
        <w:autoSpaceDN w:val="0"/>
        <w:adjustRightInd w:val="0"/>
        <w:ind w:left="0" w:firstLine="567"/>
        <w:jc w:val="both"/>
      </w:pPr>
      <w:r w:rsidRPr="00850587">
        <w:lastRenderedPageBreak/>
        <w:t xml:space="preserve">Эксперт отдела ценообразования полагает, что Обществом необоснованно завышены трудозатраты на одно технологическое присоединение и предлагают взять трудозатраты исходя из данных аналогичного предприятия в Кемеровской области в количестве 25,7 чел./часов  из них 8 часов время отработанное водителем в пути до объекта ТП и обратно, 17,7 часов работы по ТП. </w:t>
      </w:r>
    </w:p>
    <w:p w:rsidR="00850587" w:rsidRPr="00850587" w:rsidRDefault="00850587" w:rsidP="00850587">
      <w:pPr>
        <w:pStyle w:val="a3"/>
        <w:numPr>
          <w:ilvl w:val="0"/>
          <w:numId w:val="8"/>
        </w:numPr>
        <w:tabs>
          <w:tab w:val="left" w:pos="993"/>
        </w:tabs>
        <w:autoSpaceDE w:val="0"/>
        <w:autoSpaceDN w:val="0"/>
        <w:adjustRightInd w:val="0"/>
        <w:ind w:left="0" w:firstLine="567"/>
        <w:contextualSpacing w:val="0"/>
        <w:jc w:val="both"/>
      </w:pPr>
      <w:r w:rsidRPr="00850587">
        <w:t>Эксперт отдела ценообразования предлагает сумму расходов на заработную плату принять в размере 4`174,97 руб. (из них 1`299,6 руб. заработная плата водителя, 2`875,37 руб. заработная плата за произведение работ по ТП):</w:t>
      </w:r>
    </w:p>
    <w:p w:rsidR="00850587" w:rsidRPr="00850587" w:rsidRDefault="00850587" w:rsidP="00850587">
      <w:pPr>
        <w:pStyle w:val="a3"/>
        <w:tabs>
          <w:tab w:val="left" w:pos="993"/>
        </w:tabs>
        <w:autoSpaceDE w:val="0"/>
        <w:autoSpaceDN w:val="0"/>
        <w:adjustRightInd w:val="0"/>
        <w:ind w:left="0"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088"/>
        <w:gridCol w:w="5381"/>
      </w:tblGrid>
      <w:tr w:rsidR="00850587" w:rsidRPr="00850587" w:rsidTr="00CE7026">
        <w:trPr>
          <w:jc w:val="center"/>
        </w:trPr>
        <w:tc>
          <w:tcPr>
            <w:tcW w:w="1416" w:type="pct"/>
            <w:shd w:val="clear" w:color="auto" w:fill="auto"/>
          </w:tcPr>
          <w:p w:rsidR="00850587" w:rsidRPr="00850587" w:rsidRDefault="00850587" w:rsidP="002F5F39">
            <w:pPr>
              <w:pStyle w:val="a3"/>
              <w:tabs>
                <w:tab w:val="left" w:pos="-30"/>
              </w:tabs>
              <w:autoSpaceDE w:val="0"/>
              <w:autoSpaceDN w:val="0"/>
              <w:adjustRightInd w:val="0"/>
              <w:ind w:left="0" w:right="220"/>
              <w:jc w:val="center"/>
            </w:pPr>
            <w:r w:rsidRPr="00850587">
              <w:t>Наименование</w:t>
            </w:r>
          </w:p>
        </w:tc>
        <w:tc>
          <w:tcPr>
            <w:tcW w:w="100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кол-во отработанных часов всего, ч.</w:t>
            </w:r>
          </w:p>
        </w:tc>
        <w:tc>
          <w:tcPr>
            <w:tcW w:w="258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з./п.  приходящаяся на 2015 год</w:t>
            </w:r>
          </w:p>
        </w:tc>
      </w:tr>
      <w:tr w:rsidR="00850587" w:rsidRPr="00850587" w:rsidTr="00CE7026">
        <w:trPr>
          <w:jc w:val="center"/>
        </w:trPr>
        <w:tc>
          <w:tcPr>
            <w:tcW w:w="1416" w:type="pct"/>
            <w:shd w:val="clear" w:color="auto" w:fill="auto"/>
          </w:tcPr>
          <w:p w:rsidR="00850587" w:rsidRPr="00850587" w:rsidRDefault="00850587" w:rsidP="002F5F39">
            <w:pPr>
              <w:pStyle w:val="a3"/>
              <w:tabs>
                <w:tab w:val="left" w:pos="993"/>
              </w:tabs>
              <w:autoSpaceDE w:val="0"/>
              <w:autoSpaceDN w:val="0"/>
              <w:adjustRightInd w:val="0"/>
              <w:ind w:left="0"/>
              <w:jc w:val="both"/>
            </w:pPr>
            <w:r w:rsidRPr="00850587">
              <w:t>Персонал</w:t>
            </w:r>
          </w:p>
        </w:tc>
        <w:tc>
          <w:tcPr>
            <w:tcW w:w="100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17,7</w:t>
            </w:r>
          </w:p>
        </w:tc>
        <w:tc>
          <w:tcPr>
            <w:tcW w:w="258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17,7*175,52=3106,7</w:t>
            </w:r>
          </w:p>
        </w:tc>
      </w:tr>
      <w:tr w:rsidR="00850587" w:rsidRPr="00850587" w:rsidTr="00CE7026">
        <w:trPr>
          <w:jc w:val="center"/>
        </w:trPr>
        <w:tc>
          <w:tcPr>
            <w:tcW w:w="1416" w:type="pct"/>
            <w:shd w:val="clear" w:color="auto" w:fill="auto"/>
          </w:tcPr>
          <w:p w:rsidR="00850587" w:rsidRPr="00850587" w:rsidRDefault="00850587" w:rsidP="002F5F39">
            <w:pPr>
              <w:pStyle w:val="a3"/>
              <w:tabs>
                <w:tab w:val="left" w:pos="993"/>
              </w:tabs>
              <w:autoSpaceDE w:val="0"/>
              <w:autoSpaceDN w:val="0"/>
              <w:adjustRightInd w:val="0"/>
              <w:ind w:left="0"/>
              <w:jc w:val="both"/>
            </w:pPr>
            <w:r w:rsidRPr="00850587">
              <w:t>Водитель</w:t>
            </w:r>
          </w:p>
        </w:tc>
        <w:tc>
          <w:tcPr>
            <w:tcW w:w="100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8</w:t>
            </w:r>
          </w:p>
        </w:tc>
        <w:tc>
          <w:tcPr>
            <w:tcW w:w="258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8*175,52=1404,16</w:t>
            </w:r>
          </w:p>
        </w:tc>
      </w:tr>
      <w:tr w:rsidR="00850587" w:rsidRPr="00850587" w:rsidTr="00CE7026">
        <w:trPr>
          <w:jc w:val="center"/>
        </w:trPr>
        <w:tc>
          <w:tcPr>
            <w:tcW w:w="1416" w:type="pct"/>
            <w:shd w:val="clear" w:color="auto" w:fill="auto"/>
          </w:tcPr>
          <w:p w:rsidR="00850587" w:rsidRPr="00850587" w:rsidRDefault="00850587" w:rsidP="002F5F39">
            <w:pPr>
              <w:pStyle w:val="a3"/>
              <w:tabs>
                <w:tab w:val="left" w:pos="993"/>
              </w:tabs>
              <w:autoSpaceDE w:val="0"/>
              <w:autoSpaceDN w:val="0"/>
              <w:adjustRightInd w:val="0"/>
              <w:ind w:left="0"/>
              <w:jc w:val="both"/>
            </w:pPr>
            <w:r w:rsidRPr="00850587">
              <w:t>Итого</w:t>
            </w:r>
          </w:p>
        </w:tc>
        <w:tc>
          <w:tcPr>
            <w:tcW w:w="100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25,7</w:t>
            </w:r>
          </w:p>
        </w:tc>
        <w:tc>
          <w:tcPr>
            <w:tcW w:w="2582" w:type="pct"/>
            <w:shd w:val="clear" w:color="auto" w:fill="auto"/>
          </w:tcPr>
          <w:p w:rsidR="00850587" w:rsidRPr="00850587" w:rsidRDefault="00850587" w:rsidP="002F5F39">
            <w:pPr>
              <w:pStyle w:val="a3"/>
              <w:tabs>
                <w:tab w:val="left" w:pos="993"/>
              </w:tabs>
              <w:autoSpaceDE w:val="0"/>
              <w:autoSpaceDN w:val="0"/>
              <w:adjustRightInd w:val="0"/>
              <w:ind w:left="0"/>
              <w:jc w:val="center"/>
            </w:pPr>
            <w:r w:rsidRPr="00850587">
              <w:t>4510,864</w:t>
            </w:r>
          </w:p>
        </w:tc>
      </w:tr>
    </w:tbl>
    <w:p w:rsidR="00850587" w:rsidRPr="00850587" w:rsidRDefault="00850587" w:rsidP="00850587">
      <w:pPr>
        <w:pStyle w:val="a3"/>
        <w:numPr>
          <w:ilvl w:val="0"/>
          <w:numId w:val="6"/>
        </w:numPr>
        <w:tabs>
          <w:tab w:val="left" w:pos="993"/>
        </w:tabs>
        <w:autoSpaceDE w:val="0"/>
        <w:autoSpaceDN w:val="0"/>
        <w:adjustRightInd w:val="0"/>
        <w:ind w:left="0" w:firstLine="567"/>
        <w:contextualSpacing w:val="0"/>
        <w:jc w:val="both"/>
      </w:pPr>
      <w:r w:rsidRPr="00850587">
        <w:t xml:space="preserve">Сумма отчислений на социальные нужды из расчета 30,4% </w:t>
      </w:r>
      <w:proofErr w:type="gramStart"/>
      <w:r w:rsidRPr="00850587">
        <w:t>от</w:t>
      </w:r>
      <w:proofErr w:type="gramEnd"/>
      <w:r w:rsidRPr="00850587">
        <w:t xml:space="preserve"> ФОТ составит:</w:t>
      </w:r>
    </w:p>
    <w:p w:rsidR="00850587" w:rsidRPr="00850587" w:rsidRDefault="00850587" w:rsidP="00850587">
      <w:pPr>
        <w:pStyle w:val="a3"/>
        <w:tabs>
          <w:tab w:val="left" w:pos="993"/>
        </w:tabs>
        <w:autoSpaceDE w:val="0"/>
        <w:autoSpaceDN w:val="0"/>
        <w:adjustRightInd w:val="0"/>
        <w:ind w:left="567"/>
        <w:jc w:val="both"/>
      </w:pPr>
      <w:r w:rsidRPr="00850587">
        <w:t>- в сумме 1`371,30руб.;</w:t>
      </w:r>
    </w:p>
    <w:p w:rsidR="00850587" w:rsidRPr="00850587" w:rsidRDefault="00850587" w:rsidP="00850587">
      <w:pPr>
        <w:pStyle w:val="a3"/>
        <w:numPr>
          <w:ilvl w:val="0"/>
          <w:numId w:val="8"/>
        </w:numPr>
        <w:tabs>
          <w:tab w:val="left" w:pos="993"/>
        </w:tabs>
        <w:autoSpaceDE w:val="0"/>
        <w:autoSpaceDN w:val="0"/>
        <w:adjustRightInd w:val="0"/>
        <w:ind w:left="0" w:firstLine="567"/>
        <w:contextualSpacing w:val="0"/>
        <w:jc w:val="both"/>
      </w:pPr>
      <w:r w:rsidRPr="00850587">
        <w:t xml:space="preserve">По статье Вспомогательные материалы Общество предлагает принять расходы в сумме 1,73 тыс. руб., как следует из расчетных материалов представленных Обществом, данные расходы запланированы на ГСМ, расчетные значения цен которых подтверждены Договором поставки продукции на 2014 год №ТКК 2599 от 18.12.2013 заключенного на основании решения конкурсной комиссии №191П-КуЭ от 09.12.2013. </w:t>
      </w:r>
    </w:p>
    <w:p w:rsidR="00850587" w:rsidRPr="00850587" w:rsidRDefault="00850587" w:rsidP="00850587">
      <w:pPr>
        <w:pStyle w:val="a3"/>
        <w:tabs>
          <w:tab w:val="left" w:pos="993"/>
        </w:tabs>
        <w:autoSpaceDE w:val="0"/>
        <w:autoSpaceDN w:val="0"/>
        <w:adjustRightInd w:val="0"/>
        <w:ind w:left="0" w:firstLine="567"/>
        <w:jc w:val="both"/>
      </w:pPr>
      <w:r w:rsidRPr="00850587">
        <w:t>Эксперт отдела ценообразования предлагает включить расходы на ГСМ в сумме 1,47 тыс. руб. (с применением коэффициента индексации на 2015 г. – 106,7 (в соответствии с прогнозом социально-экономического развития РФ на 2015 год и плановый период 2016-2017 годов) из расчета на 4 поездки за технологическое присоединение (</w:t>
      </w:r>
      <w:r w:rsidRPr="00850587">
        <w:rPr>
          <w:color w:val="000000"/>
        </w:rPr>
        <w:t>1 выезд на каждое мероприятие, осуществляемое в процессе технологического присоединения</w:t>
      </w:r>
      <w:r w:rsidRPr="00850587">
        <w:t>), а не 5 поездок как предлагается Обществом в расчетных материалах.</w:t>
      </w:r>
    </w:p>
    <w:p w:rsidR="00850587" w:rsidRPr="00850587" w:rsidRDefault="00850587" w:rsidP="00850587">
      <w:pPr>
        <w:pStyle w:val="a3"/>
        <w:numPr>
          <w:ilvl w:val="0"/>
          <w:numId w:val="8"/>
        </w:numPr>
        <w:tabs>
          <w:tab w:val="left" w:pos="993"/>
        </w:tabs>
        <w:autoSpaceDE w:val="0"/>
        <w:autoSpaceDN w:val="0"/>
        <w:adjustRightInd w:val="0"/>
        <w:ind w:left="0" w:firstLine="567"/>
        <w:contextualSpacing w:val="0"/>
        <w:jc w:val="both"/>
      </w:pPr>
      <w:r w:rsidRPr="00850587">
        <w:t>По статье Работы и услуги производственного характера Общество предлагает принять расходы в сумме 7,83 тыс. руб., как следует из расчетных материалов представленных Обществом, данные расходы должны быть затрачены на обслуживание автомобиля, расчетные значения цен которых подтверждены Договором поставки продукции на 2014 год заключенного на основании решения конкурсной комиссии.</w:t>
      </w:r>
    </w:p>
    <w:p w:rsidR="00850587" w:rsidRPr="00850587" w:rsidRDefault="00850587" w:rsidP="00850587">
      <w:pPr>
        <w:pStyle w:val="a3"/>
        <w:tabs>
          <w:tab w:val="left" w:pos="993"/>
        </w:tabs>
        <w:autoSpaceDE w:val="0"/>
        <w:autoSpaceDN w:val="0"/>
        <w:adjustRightInd w:val="0"/>
        <w:ind w:left="0" w:firstLine="567"/>
        <w:jc w:val="both"/>
      </w:pPr>
      <w:r w:rsidRPr="00850587">
        <w:t xml:space="preserve">  Эксперт отдела ценообразования предлагает включить данные расходы в НВВ в сумме 6,69 тыс. руб. (с применением коэффициента индексации на 2015 г. – 106,7 (в соответствии с прогнозом социально-экономического развития РФ на 2015 год и плановый период 2016-2017 годов) из расчета на 4 поездки за технологическое присоединение (</w:t>
      </w:r>
      <w:r w:rsidRPr="00850587">
        <w:rPr>
          <w:color w:val="000000"/>
        </w:rPr>
        <w:t>1 выезд на каждое мероприятие, осуществляемое в процессе технологического присоединения</w:t>
      </w:r>
      <w:r w:rsidRPr="00850587">
        <w:t>), а не 5 поездок как предлагается Обществом в расчетных материалах.</w:t>
      </w:r>
    </w:p>
    <w:p w:rsidR="00850587" w:rsidRPr="00850587" w:rsidRDefault="00850587" w:rsidP="00850587">
      <w:pPr>
        <w:pStyle w:val="a3"/>
        <w:numPr>
          <w:ilvl w:val="0"/>
          <w:numId w:val="8"/>
        </w:numPr>
        <w:tabs>
          <w:tab w:val="left" w:pos="993"/>
        </w:tabs>
        <w:autoSpaceDE w:val="0"/>
        <w:autoSpaceDN w:val="0"/>
        <w:adjustRightInd w:val="0"/>
        <w:ind w:left="0" w:firstLine="567"/>
        <w:contextualSpacing w:val="0"/>
        <w:jc w:val="both"/>
      </w:pPr>
      <w:r w:rsidRPr="00850587">
        <w:t>По статье Внереализационные расходы Общество предлагает принять расходы в сумме 110`006,59 тыс. руб.</w:t>
      </w:r>
    </w:p>
    <w:p w:rsidR="00850587" w:rsidRPr="00850587" w:rsidRDefault="00850587" w:rsidP="00850587">
      <w:pPr>
        <w:tabs>
          <w:tab w:val="left" w:pos="567"/>
        </w:tabs>
        <w:autoSpaceDE w:val="0"/>
        <w:autoSpaceDN w:val="0"/>
        <w:adjustRightInd w:val="0"/>
        <w:jc w:val="both"/>
      </w:pPr>
      <w:r w:rsidRPr="00850587">
        <w:tab/>
        <w:t xml:space="preserve">Общество по статье налог на прибыль предлагает включить расходы в сумме 98`219,91 тыс. руб. Эксперт ценообразования предлагает не включать данные расходы в НВВ на индивидуальное технологическое присоединение в соответствии с пунктом 20 Основ ценообразования, так как данные расходы учитываются </w:t>
      </w:r>
      <w:r w:rsidRPr="00850587">
        <w:rPr>
          <w:bCs/>
        </w:rPr>
        <w:t>в тарифе на услуги по передаче электрической энергии</w:t>
      </w:r>
      <w:r w:rsidRPr="00850587">
        <w:t>.</w:t>
      </w:r>
    </w:p>
    <w:p w:rsidR="00850587" w:rsidRPr="00850587" w:rsidRDefault="00850587" w:rsidP="001821DC">
      <w:pPr>
        <w:tabs>
          <w:tab w:val="left" w:pos="567"/>
        </w:tabs>
        <w:autoSpaceDE w:val="0"/>
        <w:autoSpaceDN w:val="0"/>
        <w:adjustRightInd w:val="0"/>
        <w:jc w:val="both"/>
      </w:pPr>
      <w:r w:rsidRPr="00850587">
        <w:tab/>
        <w:t>Эксперт отдела ценообразования предлагает не включать в НВВ на индивидуальное технологическое присоединение дивиденды в сумме 11`786,38 тыс. руб., денежные выплаты социального характера в сумме 0,3 тыс. руб. в связи с отсутствием чистой прибыли в индивидуальном проекте технологического присоединения.</w:t>
      </w:r>
    </w:p>
    <w:p w:rsidR="00850587" w:rsidRPr="00850587" w:rsidRDefault="00850587" w:rsidP="00850587">
      <w:pPr>
        <w:pStyle w:val="a3"/>
        <w:tabs>
          <w:tab w:val="left" w:pos="993"/>
        </w:tabs>
        <w:autoSpaceDE w:val="0"/>
        <w:autoSpaceDN w:val="0"/>
        <w:adjustRightInd w:val="0"/>
        <w:ind w:left="0" w:firstLine="567"/>
        <w:jc w:val="both"/>
      </w:pPr>
    </w:p>
    <w:p w:rsidR="00850587" w:rsidRPr="00850587" w:rsidRDefault="00850587" w:rsidP="00850587">
      <w:pPr>
        <w:spacing w:line="360" w:lineRule="auto"/>
        <w:ind w:firstLine="540"/>
        <w:jc w:val="both"/>
      </w:pPr>
      <w:r w:rsidRPr="00850587">
        <w:t xml:space="preserve">Общая корректировка в сторону снижения составила </w:t>
      </w:r>
      <w:r w:rsidRPr="00850587">
        <w:rPr>
          <w:color w:val="000000"/>
        </w:rPr>
        <w:t xml:space="preserve">269 616,50 </w:t>
      </w:r>
      <w:r w:rsidRPr="00850587">
        <w:t>тыс. руб.</w:t>
      </w:r>
    </w:p>
    <w:p w:rsidR="00850587" w:rsidRPr="00850587" w:rsidRDefault="00850587" w:rsidP="00850587">
      <w:pPr>
        <w:ind w:firstLine="540"/>
        <w:jc w:val="both"/>
        <w:rPr>
          <w:bCs/>
          <w:color w:val="000000"/>
        </w:rPr>
      </w:pPr>
      <w:r w:rsidRPr="00850587">
        <w:lastRenderedPageBreak/>
        <w:t>По итогам анализа представленных филиалом ОАО «МРСК Сибири» – «Кузбассэнерго – РЭС»</w:t>
      </w:r>
      <w:r w:rsidRPr="00850587">
        <w:rPr>
          <w:bCs/>
          <w:color w:val="000000"/>
        </w:rPr>
        <w:t xml:space="preserve"> предложений по установлению платы за технологическое присоединение экспертами предлагается утвердить:</w:t>
      </w:r>
    </w:p>
    <w:p w:rsidR="00D723DA" w:rsidRDefault="00850587" w:rsidP="00D723DA">
      <w:pPr>
        <w:ind w:firstLine="540"/>
        <w:jc w:val="both"/>
        <w:rPr>
          <w:bCs/>
          <w:color w:val="000000"/>
        </w:rPr>
      </w:pPr>
      <w:r w:rsidRPr="00850587">
        <w:rPr>
          <w:bCs/>
          <w:color w:val="000000"/>
        </w:rPr>
        <w:t>- плату за технологическое присоединение к</w:t>
      </w:r>
      <w:r w:rsidRPr="00850587">
        <w:t xml:space="preserve"> электрическим сетям филиала ОАО «МРСК Сибири» – «Кузбассэнерго – РЭС» </w:t>
      </w:r>
      <w:proofErr w:type="spellStart"/>
      <w:r w:rsidRPr="00850587">
        <w:t>энергопринимающих</w:t>
      </w:r>
      <w:proofErr w:type="spellEnd"/>
      <w:r w:rsidRPr="00850587">
        <w:t xml:space="preserve"> устройств ООО «КДВ </w:t>
      </w:r>
      <w:proofErr w:type="spellStart"/>
      <w:r w:rsidRPr="00850587">
        <w:t>Яшкинские</w:t>
      </w:r>
      <w:proofErr w:type="spellEnd"/>
      <w:r w:rsidRPr="00850587">
        <w:t xml:space="preserve"> Теплицы» (электроснабжение электроустановок тепличного комплекса и птицефабрики), расположенных по адресу: Кемеровская обл., </w:t>
      </w:r>
      <w:proofErr w:type="spellStart"/>
      <w:r w:rsidRPr="00850587">
        <w:t>Яшкинский</w:t>
      </w:r>
      <w:proofErr w:type="spellEnd"/>
      <w:r w:rsidRPr="00850587">
        <w:t xml:space="preserve"> район, с. Поломошное по индивидуальному проекту </w:t>
      </w:r>
      <w:r w:rsidRPr="00850587">
        <w:rPr>
          <w:bCs/>
          <w:color w:val="000000"/>
        </w:rPr>
        <w:t xml:space="preserve">в размере </w:t>
      </w:r>
      <w:r w:rsidRPr="00850587">
        <w:rPr>
          <w:color w:val="000000"/>
        </w:rPr>
        <w:t>513 191,52</w:t>
      </w:r>
      <w:r w:rsidRPr="00850587">
        <w:rPr>
          <w:bCs/>
          <w:color w:val="000000"/>
        </w:rPr>
        <w:t xml:space="preserve"> тыс. руб.</w:t>
      </w:r>
    </w:p>
    <w:p w:rsidR="00D723DA" w:rsidRDefault="00D723DA" w:rsidP="00D723DA">
      <w:pPr>
        <w:ind w:firstLine="540"/>
        <w:jc w:val="both"/>
        <w:rPr>
          <w:bCs/>
          <w:color w:val="000000"/>
        </w:rPr>
      </w:pPr>
    </w:p>
    <w:p w:rsidR="00CE7026" w:rsidRDefault="00CE7026" w:rsidP="00D723DA">
      <w:pPr>
        <w:ind w:firstLine="540"/>
        <w:jc w:val="both"/>
        <w:rPr>
          <w:bCs/>
          <w:color w:val="000000"/>
        </w:rPr>
      </w:pPr>
      <w:proofErr w:type="spellStart"/>
      <w:r>
        <w:rPr>
          <w:bCs/>
          <w:color w:val="000000"/>
        </w:rPr>
        <w:t>Кулебякина</w:t>
      </w:r>
      <w:proofErr w:type="spellEnd"/>
      <w:r>
        <w:rPr>
          <w:bCs/>
          <w:color w:val="000000"/>
        </w:rPr>
        <w:t xml:space="preserve"> М.В. отметила, что:</w:t>
      </w:r>
    </w:p>
    <w:p w:rsidR="00CE7026" w:rsidRPr="00CE7026" w:rsidRDefault="00CE7026" w:rsidP="00CE7026">
      <w:pPr>
        <w:ind w:firstLine="540"/>
        <w:jc w:val="both"/>
      </w:pPr>
      <w:r w:rsidRPr="00CE7026">
        <w:t xml:space="preserve">- при расчете стоимости строительства </w:t>
      </w:r>
      <w:proofErr w:type="gramStart"/>
      <w:r w:rsidRPr="00CE7026">
        <w:t>ВЛ</w:t>
      </w:r>
      <w:proofErr w:type="gramEnd"/>
      <w:r w:rsidRPr="00CE7026">
        <w:t xml:space="preserve"> 110кВ и ПС 110/10кВ, использовались прогнозные индексы-дефляторы (ИПЦ), которые применяются только в случае установления платы в виде формулы, согласно </w:t>
      </w:r>
      <w:proofErr w:type="spellStart"/>
      <w:r w:rsidRPr="00CE7026">
        <w:t>п.п</w:t>
      </w:r>
      <w:proofErr w:type="spellEnd"/>
      <w:r w:rsidRPr="00CE7026">
        <w:t xml:space="preserve"> «г)» п.33 Методических указаний по определению размера платы за технологическое присоединение к электрическим сетям, утвержденных приказом ФСТ России №209-э/1 от 11.09.2012г., </w:t>
      </w:r>
    </w:p>
    <w:p w:rsidR="00CE7026" w:rsidRPr="00CE7026" w:rsidRDefault="00CE7026" w:rsidP="00CE7026">
      <w:pPr>
        <w:ind w:firstLine="540"/>
        <w:jc w:val="both"/>
      </w:pPr>
      <w:r w:rsidRPr="00CE7026">
        <w:t>- не правомерно включены затраты на благоустройство</w:t>
      </w:r>
      <w:r w:rsidRPr="00B46211">
        <w:t xml:space="preserve"> </w:t>
      </w:r>
      <w:r w:rsidRPr="00CE7026">
        <w:t xml:space="preserve">территории в размере 1089,45 </w:t>
      </w:r>
      <w:proofErr w:type="spellStart"/>
      <w:r w:rsidRPr="00CE7026">
        <w:t>тыс</w:t>
      </w:r>
      <w:proofErr w:type="gramStart"/>
      <w:r w:rsidRPr="00CE7026">
        <w:t>.р</w:t>
      </w:r>
      <w:proofErr w:type="gramEnd"/>
      <w:r w:rsidRPr="00CE7026">
        <w:t>уб</w:t>
      </w:r>
      <w:proofErr w:type="spellEnd"/>
      <w:r w:rsidRPr="00CE7026">
        <w:t>., (письмо ФСТ России от 17 сентября 2014 г. N ЕП-10196/12).</w:t>
      </w:r>
    </w:p>
    <w:p w:rsidR="00CE7026" w:rsidRDefault="00CE7026" w:rsidP="00D723DA">
      <w:pPr>
        <w:ind w:firstLine="540"/>
        <w:jc w:val="both"/>
        <w:rPr>
          <w:color w:val="000000"/>
        </w:rPr>
      </w:pPr>
    </w:p>
    <w:p w:rsidR="008942D8" w:rsidRPr="004332CD" w:rsidRDefault="008942D8" w:rsidP="00D723DA">
      <w:pPr>
        <w:ind w:firstLine="540"/>
        <w:jc w:val="both"/>
        <w:rPr>
          <w:color w:val="000000"/>
        </w:rPr>
      </w:pPr>
      <w:r w:rsidRPr="004332CD">
        <w:rPr>
          <w:color w:val="000000"/>
        </w:rPr>
        <w:t>Рассмотрев представленные материалы, Правление РЭК</w:t>
      </w:r>
    </w:p>
    <w:p w:rsidR="008942D8" w:rsidRDefault="008942D8" w:rsidP="008942D8">
      <w:pPr>
        <w:ind w:firstLine="567"/>
        <w:jc w:val="both"/>
        <w:rPr>
          <w:b/>
        </w:rPr>
      </w:pPr>
    </w:p>
    <w:p w:rsidR="008942D8" w:rsidRPr="004D341A" w:rsidRDefault="008942D8" w:rsidP="008942D8">
      <w:pPr>
        <w:ind w:firstLine="567"/>
        <w:jc w:val="both"/>
        <w:rPr>
          <w:b/>
        </w:rPr>
      </w:pPr>
      <w:r>
        <w:rPr>
          <w:b/>
        </w:rPr>
        <w:t>РЕШ</w:t>
      </w:r>
      <w:r w:rsidRPr="004D341A">
        <w:rPr>
          <w:b/>
        </w:rPr>
        <w:t>ИЛО:</w:t>
      </w:r>
    </w:p>
    <w:p w:rsidR="008942D8" w:rsidRDefault="008942D8" w:rsidP="008942D8">
      <w:pPr>
        <w:autoSpaceDE w:val="0"/>
        <w:autoSpaceDN w:val="0"/>
        <w:adjustRightInd w:val="0"/>
        <w:ind w:firstLine="567"/>
        <w:jc w:val="both"/>
        <w:outlineLvl w:val="1"/>
      </w:pPr>
    </w:p>
    <w:p w:rsidR="008942D8" w:rsidRDefault="005A1D78" w:rsidP="008942D8">
      <w:pPr>
        <w:ind w:firstLine="540"/>
        <w:jc w:val="both"/>
        <w:rPr>
          <w:bCs/>
          <w:color w:val="000000"/>
        </w:rPr>
      </w:pPr>
      <w:r>
        <w:rPr>
          <w:bCs/>
          <w:color w:val="000000"/>
        </w:rPr>
        <w:t>В связи с</w:t>
      </w:r>
      <w:r w:rsidR="00BD4CDD">
        <w:rPr>
          <w:bCs/>
          <w:color w:val="000000"/>
        </w:rPr>
        <w:t xml:space="preserve"> вновь открывшимися обстоятельствами </w:t>
      </w:r>
      <w:bookmarkStart w:id="0" w:name="_GoBack"/>
      <w:bookmarkEnd w:id="0"/>
      <w:r w:rsidR="00BD4CDD">
        <w:rPr>
          <w:bCs/>
          <w:color w:val="000000"/>
        </w:rPr>
        <w:t>перенести рассмотрение данного вопроса</w:t>
      </w:r>
      <w:r w:rsidR="008942D8">
        <w:rPr>
          <w:bCs/>
          <w:color w:val="000000"/>
        </w:rPr>
        <w:t>.</w:t>
      </w:r>
    </w:p>
    <w:p w:rsidR="008942D8" w:rsidRPr="004D341A" w:rsidRDefault="008942D8" w:rsidP="008942D8">
      <w:pPr>
        <w:autoSpaceDE w:val="0"/>
        <w:autoSpaceDN w:val="0"/>
        <w:adjustRightInd w:val="0"/>
        <w:ind w:firstLine="567"/>
        <w:jc w:val="both"/>
        <w:outlineLvl w:val="1"/>
      </w:pPr>
    </w:p>
    <w:p w:rsidR="008942D8" w:rsidRDefault="008942D8" w:rsidP="008942D8">
      <w:pPr>
        <w:ind w:firstLine="567"/>
        <w:rPr>
          <w:b/>
          <w:color w:val="000000"/>
        </w:rPr>
      </w:pPr>
      <w:r w:rsidRPr="00ED6203">
        <w:rPr>
          <w:b/>
          <w:color w:val="000000"/>
        </w:rPr>
        <w:t>Голосовали:</w:t>
      </w:r>
      <w:r w:rsidRPr="009D5D98">
        <w:rPr>
          <w:b/>
          <w:color w:val="000000"/>
        </w:rPr>
        <w:t xml:space="preserve"> </w:t>
      </w:r>
      <w:r w:rsidRPr="00ED6203">
        <w:rPr>
          <w:b/>
          <w:color w:val="000000"/>
        </w:rPr>
        <w:t xml:space="preserve">ЗА – </w:t>
      </w:r>
      <w:r>
        <w:rPr>
          <w:b/>
          <w:color w:val="000000"/>
        </w:rPr>
        <w:t>единогласно</w:t>
      </w:r>
    </w:p>
    <w:p w:rsidR="008942D8" w:rsidRDefault="008942D8" w:rsidP="008942D8">
      <w:pPr>
        <w:ind w:firstLine="567"/>
        <w:jc w:val="both"/>
      </w:pPr>
    </w:p>
    <w:p w:rsidR="008942D8" w:rsidRDefault="008942D8" w:rsidP="008942D8">
      <w:pPr>
        <w:ind w:firstLine="567"/>
        <w:jc w:val="both"/>
      </w:pPr>
      <w:r>
        <w:t>Члены Правления РЭК:</w:t>
      </w:r>
    </w:p>
    <w:p w:rsidR="008942D8" w:rsidRDefault="008942D8" w:rsidP="008942D8">
      <w:pPr>
        <w:ind w:firstLine="567"/>
        <w:jc w:val="both"/>
      </w:pPr>
    </w:p>
    <w:p w:rsidR="004F09B1" w:rsidRDefault="004F09B1" w:rsidP="008942D8">
      <w:pPr>
        <w:ind w:firstLine="567"/>
        <w:jc w:val="both"/>
      </w:pPr>
    </w:p>
    <w:p w:rsidR="008942D8" w:rsidRDefault="008942D8" w:rsidP="008942D8">
      <w:pPr>
        <w:ind w:firstLine="567"/>
        <w:jc w:val="both"/>
      </w:pPr>
      <w:r>
        <w:t>________</w:t>
      </w:r>
      <w:r w:rsidRPr="009F4980">
        <w:t xml:space="preserve">____________ </w:t>
      </w:r>
      <w:r>
        <w:t xml:space="preserve">А.Ю. </w:t>
      </w:r>
      <w:proofErr w:type="spellStart"/>
      <w:r>
        <w:t>Гринь</w:t>
      </w:r>
      <w:proofErr w:type="spellEnd"/>
    </w:p>
    <w:p w:rsidR="008942D8" w:rsidRDefault="008942D8" w:rsidP="008942D8">
      <w:pPr>
        <w:ind w:firstLine="567"/>
        <w:jc w:val="both"/>
      </w:pPr>
    </w:p>
    <w:p w:rsidR="004F09B1" w:rsidRDefault="004F09B1" w:rsidP="008942D8">
      <w:pPr>
        <w:ind w:firstLine="567"/>
        <w:jc w:val="both"/>
      </w:pPr>
    </w:p>
    <w:p w:rsidR="008942D8" w:rsidRDefault="008942D8" w:rsidP="008942D8">
      <w:pPr>
        <w:ind w:firstLine="567"/>
        <w:jc w:val="both"/>
      </w:pPr>
      <w:r>
        <w:t>________</w:t>
      </w:r>
      <w:r w:rsidRPr="009F4980">
        <w:t xml:space="preserve">____________ </w:t>
      </w:r>
      <w:r>
        <w:t xml:space="preserve">О.А. </w:t>
      </w:r>
      <w:proofErr w:type="spellStart"/>
      <w:r>
        <w:t>Чурсина</w:t>
      </w:r>
      <w:proofErr w:type="spellEnd"/>
    </w:p>
    <w:p w:rsidR="008942D8" w:rsidRDefault="008942D8" w:rsidP="008942D8">
      <w:pPr>
        <w:ind w:firstLine="567"/>
        <w:jc w:val="both"/>
      </w:pPr>
    </w:p>
    <w:p w:rsidR="004F09B1" w:rsidRDefault="004F09B1" w:rsidP="008942D8">
      <w:pPr>
        <w:ind w:firstLine="567"/>
      </w:pPr>
    </w:p>
    <w:p w:rsidR="008942D8" w:rsidRPr="00A26A4F" w:rsidRDefault="008942D8" w:rsidP="008942D8">
      <w:pPr>
        <w:ind w:firstLine="567"/>
      </w:pPr>
      <w:r w:rsidRPr="00A26A4F">
        <w:t xml:space="preserve">____________________ </w:t>
      </w:r>
      <w:r>
        <w:t xml:space="preserve">А.В. </w:t>
      </w:r>
      <w:proofErr w:type="spellStart"/>
      <w:r>
        <w:t>Дюков</w:t>
      </w:r>
      <w:proofErr w:type="spellEnd"/>
      <w:r>
        <w:t xml:space="preserve"> </w:t>
      </w:r>
    </w:p>
    <w:p w:rsidR="008942D8" w:rsidRDefault="008942D8" w:rsidP="008942D8">
      <w:pPr>
        <w:ind w:firstLine="567"/>
        <w:jc w:val="both"/>
      </w:pPr>
    </w:p>
    <w:p w:rsidR="004F09B1" w:rsidRDefault="004F09B1" w:rsidP="008942D8">
      <w:pPr>
        <w:ind w:firstLine="567"/>
        <w:jc w:val="both"/>
      </w:pPr>
    </w:p>
    <w:p w:rsidR="008942D8" w:rsidRDefault="008942D8" w:rsidP="008942D8">
      <w:pPr>
        <w:ind w:firstLine="567"/>
        <w:jc w:val="both"/>
      </w:pPr>
      <w:r>
        <w:t>____________________ Э.Б. Гусельщиков</w:t>
      </w:r>
      <w:r w:rsidRPr="009C7F73">
        <w:t xml:space="preserve"> </w:t>
      </w:r>
      <w:r>
        <w:tab/>
      </w:r>
    </w:p>
    <w:p w:rsidR="008942D8" w:rsidRDefault="008942D8" w:rsidP="008942D8">
      <w:pPr>
        <w:ind w:firstLine="567"/>
        <w:jc w:val="both"/>
      </w:pPr>
    </w:p>
    <w:p w:rsidR="004F09B1" w:rsidRDefault="004F09B1" w:rsidP="008942D8">
      <w:pPr>
        <w:ind w:firstLine="567"/>
        <w:jc w:val="both"/>
      </w:pPr>
    </w:p>
    <w:p w:rsidR="008942D8" w:rsidRDefault="008942D8" w:rsidP="008942D8">
      <w:pPr>
        <w:ind w:firstLine="567"/>
        <w:jc w:val="both"/>
      </w:pPr>
      <w:r>
        <w:t xml:space="preserve">____________________ </w:t>
      </w:r>
      <w:r w:rsidR="00D25B45">
        <w:t xml:space="preserve">М.В. </w:t>
      </w:r>
      <w:proofErr w:type="spellStart"/>
      <w:r w:rsidR="00D25B45">
        <w:t>Кулебякина</w:t>
      </w:r>
      <w:proofErr w:type="spellEnd"/>
    </w:p>
    <w:p w:rsidR="008942D8" w:rsidRDefault="008942D8" w:rsidP="008942D8">
      <w:pPr>
        <w:ind w:firstLine="567"/>
        <w:jc w:val="both"/>
      </w:pPr>
      <w:r>
        <w:tab/>
      </w:r>
      <w:r>
        <w:tab/>
      </w:r>
      <w:r>
        <w:tab/>
      </w:r>
      <w:r>
        <w:tab/>
      </w:r>
    </w:p>
    <w:p w:rsidR="008942D8" w:rsidRDefault="008942D8" w:rsidP="008942D8">
      <w:pPr>
        <w:jc w:val="both"/>
      </w:pPr>
    </w:p>
    <w:p w:rsidR="008942D8" w:rsidRDefault="008942D8" w:rsidP="008942D8">
      <w:pPr>
        <w:ind w:firstLine="567"/>
        <w:jc w:val="both"/>
      </w:pPr>
      <w:r>
        <w:t>Секретарь заседания:</w:t>
      </w:r>
    </w:p>
    <w:p w:rsidR="008942D8" w:rsidRDefault="008942D8" w:rsidP="008942D8">
      <w:pPr>
        <w:ind w:firstLine="567"/>
        <w:jc w:val="both"/>
      </w:pPr>
    </w:p>
    <w:p w:rsidR="004F09B1" w:rsidRDefault="004F09B1" w:rsidP="00F201E5">
      <w:pPr>
        <w:ind w:firstLine="567"/>
      </w:pPr>
    </w:p>
    <w:p w:rsidR="008942D8" w:rsidRDefault="008942D8" w:rsidP="00F201E5">
      <w:pPr>
        <w:ind w:firstLine="567"/>
        <w:rPr>
          <w:bCs/>
          <w:color w:val="000000"/>
        </w:rPr>
      </w:pPr>
      <w:r>
        <w:t xml:space="preserve">____________________ </w:t>
      </w:r>
      <w:r w:rsidR="00F201E5">
        <w:t>К.С. Юхневич</w:t>
      </w:r>
    </w:p>
    <w:sectPr w:rsidR="008942D8" w:rsidSect="00CE7026">
      <w:headerReference w:type="even" r:id="rId8"/>
      <w:headerReference w:type="default" r:id="rId9"/>
      <w:footerReference w:type="even" r:id="rId10"/>
      <w:foot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39" w:rsidRDefault="002F5F39" w:rsidP="008942D8">
      <w:r>
        <w:separator/>
      </w:r>
    </w:p>
  </w:endnote>
  <w:endnote w:type="continuationSeparator" w:id="0">
    <w:p w:rsidR="002F5F39" w:rsidRDefault="002F5F39" w:rsidP="0089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39" w:rsidRDefault="002F5F39" w:rsidP="002F5F3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F5F39" w:rsidRDefault="002F5F39" w:rsidP="002F5F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39" w:rsidRDefault="002F5F39">
    <w:pPr>
      <w:pStyle w:val="ab"/>
    </w:pPr>
    <w:r>
      <w:t>____________________________________________________________________________________</w:t>
    </w:r>
  </w:p>
  <w:p w:rsidR="002F5F39" w:rsidRDefault="002F5F39" w:rsidP="002F5F39">
    <w:pPr>
      <w:pStyle w:val="ab"/>
      <w:jc w:val="center"/>
    </w:pPr>
    <w:r>
      <w:t>Протокол №10-э заседания Правления РЭК от 24.03.2015г.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39" w:rsidRDefault="002F5F39" w:rsidP="008942D8">
      <w:r>
        <w:separator/>
      </w:r>
    </w:p>
  </w:footnote>
  <w:footnote w:type="continuationSeparator" w:id="0">
    <w:p w:rsidR="002F5F39" w:rsidRDefault="002F5F39" w:rsidP="0089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39" w:rsidRDefault="002F5F39" w:rsidP="002F5F3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F5F39" w:rsidRDefault="002F5F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39" w:rsidRDefault="002F5F39" w:rsidP="002F5F3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D4CDD">
      <w:rPr>
        <w:rStyle w:val="ad"/>
        <w:noProof/>
      </w:rPr>
      <w:t>2</w:t>
    </w:r>
    <w:r>
      <w:rPr>
        <w:rStyle w:val="ad"/>
      </w:rPr>
      <w:fldChar w:fldCharType="end"/>
    </w:r>
  </w:p>
  <w:p w:rsidR="002F5F39" w:rsidRDefault="002F5F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583"/>
    <w:multiLevelType w:val="hybridMultilevel"/>
    <w:tmpl w:val="B004FAAC"/>
    <w:lvl w:ilvl="0" w:tplc="980A21C4">
      <w:start w:val="1"/>
      <w:numFmt w:val="bullet"/>
      <w:lvlText w:val="o"/>
      <w:lvlJc w:val="left"/>
      <w:pPr>
        <w:ind w:left="1287" w:hanging="360"/>
      </w:pPr>
      <w:rPr>
        <w:rFonts w:ascii="Courier New" w:hAnsi="Courier New" w:cs="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4E1051"/>
    <w:multiLevelType w:val="hybridMultilevel"/>
    <w:tmpl w:val="1284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E1960"/>
    <w:multiLevelType w:val="hybridMultilevel"/>
    <w:tmpl w:val="1606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33F79"/>
    <w:multiLevelType w:val="hybridMultilevel"/>
    <w:tmpl w:val="6E4CD686"/>
    <w:lvl w:ilvl="0" w:tplc="3342D740">
      <w:start w:val="1"/>
      <w:numFmt w:val="decimal"/>
      <w:lvlText w:val="%1."/>
      <w:lvlJc w:val="left"/>
      <w:pPr>
        <w:ind w:left="1770" w:hanging="105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01510D"/>
    <w:multiLevelType w:val="hybridMultilevel"/>
    <w:tmpl w:val="007ABED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47FC52F6"/>
    <w:multiLevelType w:val="hybridMultilevel"/>
    <w:tmpl w:val="7FCE669A"/>
    <w:lvl w:ilvl="0" w:tplc="980A21C4">
      <w:start w:val="1"/>
      <w:numFmt w:val="bullet"/>
      <w:lvlText w:val="o"/>
      <w:lvlJc w:val="left"/>
      <w:pPr>
        <w:ind w:left="1287" w:hanging="360"/>
      </w:pPr>
      <w:rPr>
        <w:rFonts w:ascii="Courier New" w:hAnsi="Courier New" w:cs="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B62298E"/>
    <w:multiLevelType w:val="hybridMultilevel"/>
    <w:tmpl w:val="C9C4EF70"/>
    <w:lvl w:ilvl="0" w:tplc="0C36BE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C188E"/>
    <w:multiLevelType w:val="hybridMultilevel"/>
    <w:tmpl w:val="87E0335E"/>
    <w:lvl w:ilvl="0" w:tplc="4BBE1302">
      <w:start w:val="197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921416"/>
    <w:multiLevelType w:val="hybridMultilevel"/>
    <w:tmpl w:val="58507E0C"/>
    <w:lvl w:ilvl="0" w:tplc="0D0E23D8">
      <w:start w:val="1"/>
      <w:numFmt w:val="decimal"/>
      <w:lvlText w:val="%1."/>
      <w:lvlJc w:val="left"/>
      <w:pPr>
        <w:ind w:left="1079" w:hanging="795"/>
      </w:pPr>
      <w:rPr>
        <w:rFonts w:hint="default"/>
        <w:b w:val="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9">
    <w:nsid w:val="5F1D2DA1"/>
    <w:multiLevelType w:val="hybridMultilevel"/>
    <w:tmpl w:val="4B242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C56064"/>
    <w:multiLevelType w:val="hybridMultilevel"/>
    <w:tmpl w:val="6956787A"/>
    <w:lvl w:ilvl="0" w:tplc="8220A9B8">
      <w:start w:val="1"/>
      <w:numFmt w:val="bullet"/>
      <w:lvlText w:val="o"/>
      <w:lvlJc w:val="left"/>
      <w:pPr>
        <w:ind w:left="1331" w:hanging="360"/>
      </w:pPr>
      <w:rPr>
        <w:rFonts w:ascii="Courier New" w:hAnsi="Courier New" w:cs="Courier New" w:hint="default"/>
        <w:sz w:val="20"/>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1">
    <w:nsid w:val="76B00520"/>
    <w:multiLevelType w:val="hybridMultilevel"/>
    <w:tmpl w:val="0AAA8A86"/>
    <w:lvl w:ilvl="0" w:tplc="F42261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4"/>
  </w:num>
  <w:num w:numId="5">
    <w:abstractNumId w:val="5"/>
  </w:num>
  <w:num w:numId="6">
    <w:abstractNumId w:val="10"/>
  </w:num>
  <w:num w:numId="7">
    <w:abstractNumId w:val="8"/>
  </w:num>
  <w:num w:numId="8">
    <w:abstractNumId w:val="0"/>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D4"/>
    <w:rsid w:val="000935D4"/>
    <w:rsid w:val="000F287D"/>
    <w:rsid w:val="001821DC"/>
    <w:rsid w:val="00214B99"/>
    <w:rsid w:val="002F5F39"/>
    <w:rsid w:val="004F09B1"/>
    <w:rsid w:val="005A1D78"/>
    <w:rsid w:val="00850587"/>
    <w:rsid w:val="008942D8"/>
    <w:rsid w:val="0095197F"/>
    <w:rsid w:val="00956C3E"/>
    <w:rsid w:val="00A250BF"/>
    <w:rsid w:val="00A56563"/>
    <w:rsid w:val="00A80F14"/>
    <w:rsid w:val="00A90DDB"/>
    <w:rsid w:val="00B1658D"/>
    <w:rsid w:val="00B72E16"/>
    <w:rsid w:val="00BD4CDD"/>
    <w:rsid w:val="00BE287D"/>
    <w:rsid w:val="00BF6878"/>
    <w:rsid w:val="00C61BE0"/>
    <w:rsid w:val="00CE7026"/>
    <w:rsid w:val="00D25B45"/>
    <w:rsid w:val="00D723DA"/>
    <w:rsid w:val="00ED6A1C"/>
    <w:rsid w:val="00F201E5"/>
    <w:rsid w:val="00F6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5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E16"/>
    <w:pPr>
      <w:ind w:left="720"/>
      <w:contextualSpacing/>
    </w:pPr>
  </w:style>
  <w:style w:type="paragraph" w:styleId="a4">
    <w:name w:val="Body Text Indent"/>
    <w:basedOn w:val="a"/>
    <w:link w:val="a5"/>
    <w:rsid w:val="00850587"/>
    <w:pPr>
      <w:ind w:firstLine="851"/>
      <w:jc w:val="both"/>
    </w:pPr>
    <w:rPr>
      <w:b/>
      <w:szCs w:val="20"/>
      <w:lang w:val="x-none" w:eastAsia="x-none"/>
    </w:rPr>
  </w:style>
  <w:style w:type="character" w:customStyle="1" w:styleId="a5">
    <w:name w:val="Основной текст с отступом Знак"/>
    <w:basedOn w:val="a0"/>
    <w:link w:val="a4"/>
    <w:rsid w:val="00850587"/>
    <w:rPr>
      <w:rFonts w:ascii="Times New Roman" w:eastAsia="Times New Roman" w:hAnsi="Times New Roman" w:cs="Times New Roman"/>
      <w:b/>
      <w:sz w:val="24"/>
      <w:szCs w:val="20"/>
      <w:lang w:val="x-none" w:eastAsia="x-none"/>
    </w:rPr>
  </w:style>
  <w:style w:type="paragraph" w:styleId="a6">
    <w:name w:val="Normal (Web)"/>
    <w:basedOn w:val="a"/>
    <w:uiPriority w:val="99"/>
    <w:semiHidden/>
    <w:unhideWhenUsed/>
    <w:rsid w:val="00850587"/>
    <w:pPr>
      <w:spacing w:before="100" w:beforeAutospacing="1" w:after="100" w:afterAutospacing="1"/>
    </w:pPr>
  </w:style>
  <w:style w:type="paragraph" w:styleId="a7">
    <w:name w:val="Balloon Text"/>
    <w:basedOn w:val="a"/>
    <w:link w:val="a8"/>
    <w:uiPriority w:val="99"/>
    <w:semiHidden/>
    <w:unhideWhenUsed/>
    <w:rsid w:val="001821DC"/>
    <w:rPr>
      <w:rFonts w:ascii="Segoe UI" w:hAnsi="Segoe UI" w:cs="Segoe UI"/>
      <w:sz w:val="18"/>
      <w:szCs w:val="18"/>
    </w:rPr>
  </w:style>
  <w:style w:type="character" w:customStyle="1" w:styleId="a8">
    <w:name w:val="Текст выноски Знак"/>
    <w:basedOn w:val="a0"/>
    <w:link w:val="a7"/>
    <w:uiPriority w:val="99"/>
    <w:semiHidden/>
    <w:rsid w:val="001821DC"/>
    <w:rPr>
      <w:rFonts w:ascii="Segoe UI" w:eastAsia="Times New Roman" w:hAnsi="Segoe UI" w:cs="Segoe UI"/>
      <w:sz w:val="18"/>
      <w:szCs w:val="18"/>
      <w:lang w:eastAsia="ru-RU"/>
    </w:rPr>
  </w:style>
  <w:style w:type="paragraph" w:customStyle="1" w:styleId="FR1">
    <w:name w:val="FR1"/>
    <w:rsid w:val="00BE287D"/>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8942D8"/>
    <w:pPr>
      <w:tabs>
        <w:tab w:val="center" w:pos="4677"/>
        <w:tab w:val="right" w:pos="9355"/>
      </w:tabs>
    </w:pPr>
  </w:style>
  <w:style w:type="character" w:customStyle="1" w:styleId="aa">
    <w:name w:val="Верхний колонтитул Знак"/>
    <w:basedOn w:val="a0"/>
    <w:link w:val="a9"/>
    <w:uiPriority w:val="99"/>
    <w:rsid w:val="008942D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42D8"/>
    <w:pPr>
      <w:tabs>
        <w:tab w:val="center" w:pos="4677"/>
        <w:tab w:val="right" w:pos="9355"/>
      </w:tabs>
    </w:pPr>
  </w:style>
  <w:style w:type="character" w:customStyle="1" w:styleId="ac">
    <w:name w:val="Нижний колонтитул Знак"/>
    <w:basedOn w:val="a0"/>
    <w:link w:val="ab"/>
    <w:uiPriority w:val="99"/>
    <w:rsid w:val="008942D8"/>
    <w:rPr>
      <w:rFonts w:ascii="Times New Roman" w:eastAsia="Times New Roman" w:hAnsi="Times New Roman" w:cs="Times New Roman"/>
      <w:sz w:val="24"/>
      <w:szCs w:val="24"/>
      <w:lang w:eastAsia="ru-RU"/>
    </w:rPr>
  </w:style>
  <w:style w:type="character" w:styleId="ad">
    <w:name w:val="page number"/>
    <w:basedOn w:val="a0"/>
    <w:rsid w:val="00894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5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E16"/>
    <w:pPr>
      <w:ind w:left="720"/>
      <w:contextualSpacing/>
    </w:pPr>
  </w:style>
  <w:style w:type="paragraph" w:styleId="a4">
    <w:name w:val="Body Text Indent"/>
    <w:basedOn w:val="a"/>
    <w:link w:val="a5"/>
    <w:rsid w:val="00850587"/>
    <w:pPr>
      <w:ind w:firstLine="851"/>
      <w:jc w:val="both"/>
    </w:pPr>
    <w:rPr>
      <w:b/>
      <w:szCs w:val="20"/>
      <w:lang w:val="x-none" w:eastAsia="x-none"/>
    </w:rPr>
  </w:style>
  <w:style w:type="character" w:customStyle="1" w:styleId="a5">
    <w:name w:val="Основной текст с отступом Знак"/>
    <w:basedOn w:val="a0"/>
    <w:link w:val="a4"/>
    <w:rsid w:val="00850587"/>
    <w:rPr>
      <w:rFonts w:ascii="Times New Roman" w:eastAsia="Times New Roman" w:hAnsi="Times New Roman" w:cs="Times New Roman"/>
      <w:b/>
      <w:sz w:val="24"/>
      <w:szCs w:val="20"/>
      <w:lang w:val="x-none" w:eastAsia="x-none"/>
    </w:rPr>
  </w:style>
  <w:style w:type="paragraph" w:styleId="a6">
    <w:name w:val="Normal (Web)"/>
    <w:basedOn w:val="a"/>
    <w:uiPriority w:val="99"/>
    <w:semiHidden/>
    <w:unhideWhenUsed/>
    <w:rsid w:val="00850587"/>
    <w:pPr>
      <w:spacing w:before="100" w:beforeAutospacing="1" w:after="100" w:afterAutospacing="1"/>
    </w:pPr>
  </w:style>
  <w:style w:type="paragraph" w:styleId="a7">
    <w:name w:val="Balloon Text"/>
    <w:basedOn w:val="a"/>
    <w:link w:val="a8"/>
    <w:uiPriority w:val="99"/>
    <w:semiHidden/>
    <w:unhideWhenUsed/>
    <w:rsid w:val="001821DC"/>
    <w:rPr>
      <w:rFonts w:ascii="Segoe UI" w:hAnsi="Segoe UI" w:cs="Segoe UI"/>
      <w:sz w:val="18"/>
      <w:szCs w:val="18"/>
    </w:rPr>
  </w:style>
  <w:style w:type="character" w:customStyle="1" w:styleId="a8">
    <w:name w:val="Текст выноски Знак"/>
    <w:basedOn w:val="a0"/>
    <w:link w:val="a7"/>
    <w:uiPriority w:val="99"/>
    <w:semiHidden/>
    <w:rsid w:val="001821DC"/>
    <w:rPr>
      <w:rFonts w:ascii="Segoe UI" w:eastAsia="Times New Roman" w:hAnsi="Segoe UI" w:cs="Segoe UI"/>
      <w:sz w:val="18"/>
      <w:szCs w:val="18"/>
      <w:lang w:eastAsia="ru-RU"/>
    </w:rPr>
  </w:style>
  <w:style w:type="paragraph" w:customStyle="1" w:styleId="FR1">
    <w:name w:val="FR1"/>
    <w:rsid w:val="00BE287D"/>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8942D8"/>
    <w:pPr>
      <w:tabs>
        <w:tab w:val="center" w:pos="4677"/>
        <w:tab w:val="right" w:pos="9355"/>
      </w:tabs>
    </w:pPr>
  </w:style>
  <w:style w:type="character" w:customStyle="1" w:styleId="aa">
    <w:name w:val="Верхний колонтитул Знак"/>
    <w:basedOn w:val="a0"/>
    <w:link w:val="a9"/>
    <w:uiPriority w:val="99"/>
    <w:rsid w:val="008942D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42D8"/>
    <w:pPr>
      <w:tabs>
        <w:tab w:val="center" w:pos="4677"/>
        <w:tab w:val="right" w:pos="9355"/>
      </w:tabs>
    </w:pPr>
  </w:style>
  <w:style w:type="character" w:customStyle="1" w:styleId="ac">
    <w:name w:val="Нижний колонтитул Знак"/>
    <w:basedOn w:val="a0"/>
    <w:link w:val="ab"/>
    <w:uiPriority w:val="99"/>
    <w:rsid w:val="008942D8"/>
    <w:rPr>
      <w:rFonts w:ascii="Times New Roman" w:eastAsia="Times New Roman" w:hAnsi="Times New Roman" w:cs="Times New Roman"/>
      <w:sz w:val="24"/>
      <w:szCs w:val="24"/>
      <w:lang w:eastAsia="ru-RU"/>
    </w:rPr>
  </w:style>
  <w:style w:type="character" w:styleId="ad">
    <w:name w:val="page number"/>
    <w:basedOn w:val="a0"/>
    <w:rsid w:val="0089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Ксения Юхневич</cp:lastModifiedBy>
  <cp:revision>17</cp:revision>
  <cp:lastPrinted>2015-05-14T06:43:00Z</cp:lastPrinted>
  <dcterms:created xsi:type="dcterms:W3CDTF">2015-05-14T04:25:00Z</dcterms:created>
  <dcterms:modified xsi:type="dcterms:W3CDTF">2015-07-15T02:27:00Z</dcterms:modified>
</cp:coreProperties>
</file>