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0C" w:rsidRDefault="007A430C" w:rsidP="007A430C">
      <w:pPr>
        <w:pStyle w:val="2"/>
        <w:keepNext w:val="0"/>
        <w:widowControl w:val="0"/>
        <w:spacing w:line="240" w:lineRule="auto"/>
        <w:jc w:val="right"/>
        <w:rPr>
          <w:b w:val="0"/>
          <w:szCs w:val="28"/>
        </w:rPr>
      </w:pPr>
      <w:r>
        <w:rPr>
          <w:b w:val="0"/>
          <w:szCs w:val="28"/>
        </w:rPr>
        <w:t>Приложение к постановлению</w:t>
      </w:r>
    </w:p>
    <w:p w:rsidR="007A430C" w:rsidRDefault="00FB3955" w:rsidP="007A430C">
      <w:pPr>
        <w:pStyle w:val="2"/>
        <w:keepNext w:val="0"/>
        <w:widowControl w:val="0"/>
        <w:spacing w:line="240" w:lineRule="auto"/>
        <w:jc w:val="right"/>
        <w:rPr>
          <w:b w:val="0"/>
          <w:szCs w:val="28"/>
        </w:rPr>
      </w:pPr>
      <w:r>
        <w:rPr>
          <w:b w:val="0"/>
          <w:szCs w:val="28"/>
        </w:rPr>
        <w:t>р</w:t>
      </w:r>
      <w:r w:rsidR="007A430C">
        <w:rPr>
          <w:b w:val="0"/>
          <w:szCs w:val="28"/>
        </w:rPr>
        <w:t>егиональной энергетической комиссии</w:t>
      </w:r>
    </w:p>
    <w:p w:rsidR="007A430C" w:rsidRDefault="007A430C" w:rsidP="007A430C">
      <w:pPr>
        <w:pStyle w:val="2"/>
        <w:keepNext w:val="0"/>
        <w:widowControl w:val="0"/>
        <w:spacing w:line="240" w:lineRule="auto"/>
        <w:jc w:val="right"/>
        <w:rPr>
          <w:b w:val="0"/>
          <w:szCs w:val="28"/>
        </w:rPr>
      </w:pPr>
      <w:r>
        <w:rPr>
          <w:b w:val="0"/>
          <w:szCs w:val="28"/>
        </w:rPr>
        <w:t xml:space="preserve">Кемеровской области </w:t>
      </w:r>
    </w:p>
    <w:p w:rsidR="007A430C" w:rsidRDefault="007A430C" w:rsidP="007A430C">
      <w:pPr>
        <w:pStyle w:val="2"/>
        <w:keepNext w:val="0"/>
        <w:widowControl w:val="0"/>
        <w:spacing w:line="240" w:lineRule="auto"/>
        <w:jc w:val="right"/>
        <w:rPr>
          <w:b w:val="0"/>
          <w:szCs w:val="28"/>
        </w:rPr>
      </w:pPr>
      <w:r>
        <w:rPr>
          <w:b w:val="0"/>
          <w:szCs w:val="28"/>
        </w:rPr>
        <w:t xml:space="preserve">от </w:t>
      </w:r>
      <w:r w:rsidR="00F416DE">
        <w:rPr>
          <w:b w:val="0"/>
          <w:szCs w:val="28"/>
        </w:rPr>
        <w:t>28</w:t>
      </w:r>
      <w:r>
        <w:rPr>
          <w:b w:val="0"/>
          <w:szCs w:val="28"/>
        </w:rPr>
        <w:t xml:space="preserve"> марта 2014 года №</w:t>
      </w:r>
      <w:r w:rsidR="00F416DE">
        <w:rPr>
          <w:b w:val="0"/>
          <w:szCs w:val="28"/>
        </w:rPr>
        <w:t xml:space="preserve"> 162</w:t>
      </w:r>
    </w:p>
    <w:p w:rsidR="007A430C" w:rsidRDefault="007A430C" w:rsidP="007A430C">
      <w:pPr>
        <w:spacing w:line="240" w:lineRule="atLeast"/>
        <w:ind w:right="-1" w:firstLine="567"/>
        <w:jc w:val="center"/>
        <w:rPr>
          <w:b/>
          <w:bCs/>
          <w:sz w:val="28"/>
          <w:szCs w:val="28"/>
        </w:rPr>
      </w:pPr>
    </w:p>
    <w:p w:rsidR="007A430C" w:rsidRDefault="007A430C" w:rsidP="007A430C">
      <w:pPr>
        <w:spacing w:line="240" w:lineRule="atLeast"/>
        <w:ind w:right="-1" w:firstLine="567"/>
        <w:jc w:val="center"/>
        <w:rPr>
          <w:sz w:val="28"/>
          <w:szCs w:val="28"/>
        </w:rPr>
      </w:pPr>
      <w:r>
        <w:rPr>
          <w:b/>
          <w:bCs/>
          <w:sz w:val="28"/>
          <w:szCs w:val="28"/>
        </w:rPr>
        <w:t>Единые (котловые) тарифы на услуги по передаче электрической энергии по сетям Кемеровской области (тарифы указываются без НДС)</w:t>
      </w:r>
    </w:p>
    <w:p w:rsidR="007A430C" w:rsidRDefault="007A430C" w:rsidP="007A430C">
      <w:pPr>
        <w:spacing w:line="240" w:lineRule="atLeast"/>
        <w:ind w:left="284"/>
      </w:pPr>
    </w:p>
    <w:tbl>
      <w:tblPr>
        <w:tblW w:w="10740" w:type="dxa"/>
        <w:tblLayout w:type="fixed"/>
        <w:tblLook w:val="04A0" w:firstRow="1" w:lastRow="0" w:firstColumn="1" w:lastColumn="0" w:noHBand="0" w:noVBand="1"/>
      </w:tblPr>
      <w:tblGrid>
        <w:gridCol w:w="782"/>
        <w:gridCol w:w="2020"/>
        <w:gridCol w:w="1134"/>
        <w:gridCol w:w="851"/>
        <w:gridCol w:w="851"/>
        <w:gridCol w:w="850"/>
        <w:gridCol w:w="850"/>
        <w:gridCol w:w="850"/>
        <w:gridCol w:w="851"/>
        <w:gridCol w:w="851"/>
        <w:gridCol w:w="850"/>
      </w:tblGrid>
      <w:tr w:rsidR="007A430C" w:rsidTr="007A430C">
        <w:trPr>
          <w:trHeight w:val="305"/>
        </w:trPr>
        <w:tc>
          <w:tcPr>
            <w:tcW w:w="782" w:type="dxa"/>
            <w:vMerge w:val="restart"/>
            <w:tcBorders>
              <w:top w:val="single" w:sz="4" w:space="0" w:color="auto"/>
              <w:left w:val="single" w:sz="4" w:space="0" w:color="auto"/>
              <w:bottom w:val="single" w:sz="4" w:space="0" w:color="auto"/>
              <w:right w:val="single" w:sz="4" w:space="0" w:color="auto"/>
            </w:tcBorders>
            <w:noWrap/>
            <w:vAlign w:val="center"/>
            <w:hideMark/>
          </w:tcPr>
          <w:p w:rsidR="007A430C" w:rsidRDefault="007A430C">
            <w:pPr>
              <w:spacing w:line="240" w:lineRule="atLeast"/>
              <w:jc w:val="center"/>
              <w:rPr>
                <w:b/>
                <w:bCs/>
                <w:sz w:val="16"/>
                <w:szCs w:val="16"/>
              </w:rPr>
            </w:pPr>
            <w:r>
              <w:rPr>
                <w:b/>
                <w:bCs/>
                <w:sz w:val="16"/>
                <w:szCs w:val="16"/>
              </w:rPr>
              <w:t>№</w:t>
            </w:r>
            <w:proofErr w:type="gramStart"/>
            <w:r>
              <w:rPr>
                <w:b/>
                <w:bCs/>
                <w:sz w:val="16"/>
                <w:szCs w:val="16"/>
              </w:rPr>
              <w:t>п</w:t>
            </w:r>
            <w:proofErr w:type="gramEnd"/>
            <w:r>
              <w:rPr>
                <w:b/>
                <w:bCs/>
                <w:sz w:val="16"/>
                <w:szCs w:val="16"/>
              </w:rPr>
              <w:t>/п</w:t>
            </w:r>
          </w:p>
        </w:tc>
        <w:tc>
          <w:tcPr>
            <w:tcW w:w="2020" w:type="dxa"/>
            <w:vMerge w:val="restart"/>
            <w:tcBorders>
              <w:top w:val="single" w:sz="4" w:space="0" w:color="auto"/>
              <w:left w:val="single" w:sz="4" w:space="0" w:color="auto"/>
              <w:bottom w:val="single" w:sz="4" w:space="0" w:color="auto"/>
              <w:right w:val="single" w:sz="4" w:space="0" w:color="auto"/>
            </w:tcBorders>
            <w:noWrap/>
            <w:vAlign w:val="center"/>
            <w:hideMark/>
          </w:tcPr>
          <w:p w:rsidR="007A430C" w:rsidRDefault="007A430C">
            <w:pPr>
              <w:spacing w:line="240" w:lineRule="atLeast"/>
              <w:jc w:val="center"/>
              <w:rPr>
                <w:b/>
                <w:bCs/>
                <w:sz w:val="16"/>
                <w:szCs w:val="16"/>
              </w:rPr>
            </w:pPr>
            <w:r>
              <w:rPr>
                <w:b/>
                <w:bCs/>
                <w:sz w:val="16"/>
                <w:szCs w:val="16"/>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7A430C" w:rsidRDefault="007A430C">
            <w:pPr>
              <w:spacing w:line="240" w:lineRule="atLeast"/>
              <w:jc w:val="center"/>
              <w:rPr>
                <w:b/>
                <w:bCs/>
                <w:sz w:val="16"/>
                <w:szCs w:val="16"/>
              </w:rPr>
            </w:pPr>
            <w:r>
              <w:rPr>
                <w:b/>
                <w:bCs/>
                <w:sz w:val="16"/>
                <w:szCs w:val="16"/>
              </w:rPr>
              <w:t>Единица измерения</w:t>
            </w:r>
          </w:p>
        </w:tc>
        <w:tc>
          <w:tcPr>
            <w:tcW w:w="3402" w:type="dxa"/>
            <w:gridSpan w:val="4"/>
            <w:vMerge w:val="restart"/>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1 полугодие</w:t>
            </w:r>
          </w:p>
          <w:p w:rsidR="007A430C" w:rsidRDefault="007A430C">
            <w:pPr>
              <w:spacing w:line="240" w:lineRule="atLeast"/>
              <w:jc w:val="center"/>
              <w:rPr>
                <w:sz w:val="16"/>
                <w:szCs w:val="16"/>
              </w:rPr>
            </w:pPr>
            <w:r>
              <w:rPr>
                <w:sz w:val="16"/>
                <w:szCs w:val="16"/>
                <w:lang w:val="en-US"/>
              </w:rPr>
              <w:t>c</w:t>
            </w:r>
            <w:r>
              <w:rPr>
                <w:sz w:val="16"/>
                <w:szCs w:val="16"/>
              </w:rPr>
              <w:t xml:space="preserve"> 01.01.2014 по 3</w:t>
            </w:r>
            <w:r>
              <w:rPr>
                <w:sz w:val="16"/>
                <w:szCs w:val="16"/>
                <w:lang w:val="en-US"/>
              </w:rPr>
              <w:t>0</w:t>
            </w:r>
            <w:r>
              <w:rPr>
                <w:sz w:val="16"/>
                <w:szCs w:val="16"/>
              </w:rPr>
              <w:t>.0</w:t>
            </w:r>
            <w:r>
              <w:rPr>
                <w:sz w:val="16"/>
                <w:szCs w:val="16"/>
                <w:lang w:val="en-US"/>
              </w:rPr>
              <w:t>6</w:t>
            </w:r>
            <w:r>
              <w:rPr>
                <w:sz w:val="16"/>
                <w:szCs w:val="16"/>
              </w:rPr>
              <w:t>.2014</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2 полугодие</w:t>
            </w:r>
          </w:p>
        </w:tc>
      </w:tr>
      <w:tr w:rsidR="007A430C" w:rsidTr="007A430C">
        <w:trPr>
          <w:trHeight w:val="281"/>
        </w:trPr>
        <w:tc>
          <w:tcPr>
            <w:tcW w:w="733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995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5953" w:type="dxa"/>
            <w:gridSpan w:val="4"/>
            <w:vMerge/>
            <w:tcBorders>
              <w:top w:val="single" w:sz="4" w:space="0" w:color="auto"/>
              <w:left w:val="nil"/>
              <w:bottom w:val="single" w:sz="4" w:space="0" w:color="auto"/>
              <w:right w:val="single" w:sz="4" w:space="0" w:color="auto"/>
            </w:tcBorders>
            <w:vAlign w:val="center"/>
            <w:hideMark/>
          </w:tcPr>
          <w:p w:rsidR="007A430C" w:rsidRDefault="007A430C">
            <w:pPr>
              <w:rPr>
                <w:sz w:val="16"/>
                <w:szCs w:val="16"/>
              </w:rPr>
            </w:pP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lang w:val="en-US"/>
              </w:rPr>
              <w:t>c 01</w:t>
            </w:r>
            <w:r>
              <w:rPr>
                <w:sz w:val="16"/>
                <w:szCs w:val="16"/>
              </w:rPr>
              <w:t>.07.2014 по 31.</w:t>
            </w:r>
            <w:r>
              <w:rPr>
                <w:sz w:val="16"/>
                <w:szCs w:val="16"/>
                <w:lang w:val="en-US"/>
              </w:rPr>
              <w:t>12</w:t>
            </w:r>
            <w:r>
              <w:rPr>
                <w:sz w:val="16"/>
                <w:szCs w:val="16"/>
              </w:rPr>
              <w:t>.2014</w:t>
            </w:r>
          </w:p>
        </w:tc>
      </w:tr>
      <w:tr w:rsidR="007A430C" w:rsidTr="007A430C">
        <w:trPr>
          <w:trHeight w:val="399"/>
        </w:trPr>
        <w:tc>
          <w:tcPr>
            <w:tcW w:w="733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995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3402" w:type="dxa"/>
            <w:gridSpan w:val="4"/>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Диапазоны напряжения</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Диапазоны напряжения</w:t>
            </w:r>
          </w:p>
        </w:tc>
      </w:tr>
      <w:tr w:rsidR="007A430C" w:rsidTr="007A430C">
        <w:trPr>
          <w:trHeight w:val="344"/>
        </w:trPr>
        <w:tc>
          <w:tcPr>
            <w:tcW w:w="733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995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b/>
                <w:bCs/>
                <w:sz w:val="16"/>
                <w:szCs w:val="16"/>
              </w:rPr>
            </w:pP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b/>
                <w:sz w:val="16"/>
                <w:szCs w:val="16"/>
              </w:rPr>
            </w:pPr>
            <w:r>
              <w:rPr>
                <w:b/>
                <w:sz w:val="16"/>
                <w:szCs w:val="16"/>
              </w:rPr>
              <w:t>ВН</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b/>
                <w:sz w:val="16"/>
                <w:szCs w:val="16"/>
                <w:lang w:val="en-US"/>
              </w:rPr>
            </w:pPr>
            <w:r>
              <w:rPr>
                <w:b/>
                <w:sz w:val="16"/>
                <w:szCs w:val="16"/>
              </w:rPr>
              <w:t>СН-</w:t>
            </w:r>
            <w:proofErr w:type="gramStart"/>
            <w:r>
              <w:rPr>
                <w:b/>
                <w:sz w:val="16"/>
                <w:szCs w:val="16"/>
                <w:lang w:val="en-US"/>
              </w:rPr>
              <w:t>I</w:t>
            </w:r>
            <w:proofErr w:type="gramEnd"/>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b/>
                <w:sz w:val="16"/>
                <w:szCs w:val="16"/>
                <w:lang w:val="en-US"/>
              </w:rPr>
            </w:pPr>
            <w:r>
              <w:rPr>
                <w:b/>
                <w:sz w:val="16"/>
                <w:szCs w:val="16"/>
              </w:rPr>
              <w:t>СН-</w:t>
            </w:r>
            <w:proofErr w:type="gramStart"/>
            <w:r>
              <w:rPr>
                <w:b/>
                <w:sz w:val="16"/>
                <w:szCs w:val="16"/>
                <w:lang w:val="en-US"/>
              </w:rPr>
              <w:t>II</w:t>
            </w:r>
            <w:proofErr w:type="gramEnd"/>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b/>
                <w:sz w:val="16"/>
                <w:szCs w:val="16"/>
              </w:rPr>
            </w:pPr>
            <w:r>
              <w:rPr>
                <w:b/>
                <w:sz w:val="16"/>
                <w:szCs w:val="16"/>
              </w:rPr>
              <w:t>НН</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b/>
                <w:sz w:val="16"/>
                <w:szCs w:val="16"/>
              </w:rPr>
            </w:pPr>
            <w:r>
              <w:rPr>
                <w:b/>
                <w:sz w:val="16"/>
                <w:szCs w:val="16"/>
              </w:rPr>
              <w:t>ВН</w:t>
            </w:r>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b/>
                <w:sz w:val="16"/>
                <w:szCs w:val="16"/>
                <w:lang w:val="en-US"/>
              </w:rPr>
            </w:pPr>
            <w:r>
              <w:rPr>
                <w:b/>
                <w:sz w:val="16"/>
                <w:szCs w:val="16"/>
              </w:rPr>
              <w:t>СН-</w:t>
            </w:r>
            <w:proofErr w:type="gramStart"/>
            <w:r>
              <w:rPr>
                <w:b/>
                <w:sz w:val="16"/>
                <w:szCs w:val="16"/>
                <w:lang w:val="en-US"/>
              </w:rPr>
              <w:t>I</w:t>
            </w:r>
            <w:proofErr w:type="gramEnd"/>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b/>
                <w:sz w:val="16"/>
                <w:szCs w:val="16"/>
                <w:lang w:val="en-US"/>
              </w:rPr>
            </w:pPr>
            <w:r>
              <w:rPr>
                <w:b/>
                <w:sz w:val="16"/>
                <w:szCs w:val="16"/>
              </w:rPr>
              <w:t>СН-</w:t>
            </w:r>
            <w:proofErr w:type="gramStart"/>
            <w:r>
              <w:rPr>
                <w:b/>
                <w:sz w:val="16"/>
                <w:szCs w:val="16"/>
                <w:lang w:val="en-US"/>
              </w:rPr>
              <w:t>II</w:t>
            </w:r>
            <w:proofErr w:type="gramEnd"/>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b/>
                <w:sz w:val="16"/>
                <w:szCs w:val="16"/>
              </w:rPr>
            </w:pPr>
            <w:r>
              <w:rPr>
                <w:b/>
                <w:sz w:val="16"/>
                <w:szCs w:val="16"/>
              </w:rPr>
              <w:t>НН</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1</w:t>
            </w:r>
          </w:p>
        </w:tc>
        <w:tc>
          <w:tcPr>
            <w:tcW w:w="202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2</w:t>
            </w:r>
          </w:p>
        </w:tc>
        <w:tc>
          <w:tcPr>
            <w:tcW w:w="1134"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3</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4</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5</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6</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7</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8</w:t>
            </w:r>
          </w:p>
        </w:tc>
        <w:tc>
          <w:tcPr>
            <w:tcW w:w="851" w:type="dxa"/>
            <w:tcBorders>
              <w:top w:val="single" w:sz="4" w:space="0" w:color="auto"/>
              <w:left w:val="nil"/>
              <w:bottom w:val="single" w:sz="4" w:space="0" w:color="auto"/>
              <w:right w:val="single" w:sz="4" w:space="0" w:color="auto"/>
            </w:tcBorders>
            <w:hideMark/>
          </w:tcPr>
          <w:p w:rsidR="007A430C" w:rsidRDefault="007A430C">
            <w:pPr>
              <w:spacing w:line="240" w:lineRule="atLeast"/>
              <w:jc w:val="center"/>
              <w:rPr>
                <w:sz w:val="16"/>
                <w:szCs w:val="16"/>
              </w:rPr>
            </w:pPr>
            <w:r>
              <w:rPr>
                <w:sz w:val="16"/>
                <w:szCs w:val="16"/>
              </w:rPr>
              <w:t>9</w:t>
            </w:r>
          </w:p>
        </w:tc>
        <w:tc>
          <w:tcPr>
            <w:tcW w:w="851" w:type="dxa"/>
            <w:tcBorders>
              <w:top w:val="single" w:sz="4" w:space="0" w:color="auto"/>
              <w:left w:val="nil"/>
              <w:bottom w:val="single" w:sz="4" w:space="0" w:color="auto"/>
              <w:right w:val="single" w:sz="4" w:space="0" w:color="auto"/>
            </w:tcBorders>
            <w:hideMark/>
          </w:tcPr>
          <w:p w:rsidR="007A430C" w:rsidRDefault="007A430C">
            <w:pPr>
              <w:spacing w:line="240" w:lineRule="atLeast"/>
              <w:jc w:val="center"/>
              <w:rPr>
                <w:sz w:val="16"/>
                <w:szCs w:val="16"/>
              </w:rPr>
            </w:pPr>
            <w:r>
              <w:rPr>
                <w:sz w:val="16"/>
                <w:szCs w:val="16"/>
                <w:lang w:val="en-US"/>
              </w:rPr>
              <w:t>1</w:t>
            </w:r>
            <w:r>
              <w:rPr>
                <w:sz w:val="16"/>
                <w:szCs w:val="16"/>
              </w:rPr>
              <w:t>0</w:t>
            </w:r>
          </w:p>
        </w:tc>
        <w:tc>
          <w:tcPr>
            <w:tcW w:w="850" w:type="dxa"/>
            <w:tcBorders>
              <w:top w:val="single" w:sz="4" w:space="0" w:color="auto"/>
              <w:left w:val="nil"/>
              <w:bottom w:val="single" w:sz="4" w:space="0" w:color="auto"/>
              <w:right w:val="single" w:sz="4" w:space="0" w:color="auto"/>
            </w:tcBorders>
            <w:hideMark/>
          </w:tcPr>
          <w:p w:rsidR="007A430C" w:rsidRDefault="007A430C">
            <w:pPr>
              <w:spacing w:line="240" w:lineRule="atLeast"/>
              <w:jc w:val="center"/>
              <w:rPr>
                <w:sz w:val="16"/>
                <w:szCs w:val="16"/>
              </w:rPr>
            </w:pPr>
            <w:r>
              <w:rPr>
                <w:sz w:val="16"/>
                <w:szCs w:val="16"/>
                <w:lang w:val="en-US"/>
              </w:rPr>
              <w:t>1</w:t>
            </w:r>
            <w:r>
              <w:rPr>
                <w:sz w:val="16"/>
                <w:szCs w:val="16"/>
              </w:rPr>
              <w:t>1</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1</w:t>
            </w:r>
          </w:p>
        </w:tc>
        <w:tc>
          <w:tcPr>
            <w:tcW w:w="9958" w:type="dxa"/>
            <w:gridSpan w:val="10"/>
            <w:tcBorders>
              <w:top w:val="single" w:sz="4" w:space="0" w:color="auto"/>
              <w:left w:val="single" w:sz="4" w:space="0" w:color="auto"/>
              <w:bottom w:val="single" w:sz="4" w:space="0" w:color="auto"/>
              <w:right w:val="single" w:sz="4" w:space="0" w:color="auto"/>
            </w:tcBorders>
            <w:noWrap/>
            <w:vAlign w:val="center"/>
            <w:hideMark/>
          </w:tcPr>
          <w:p w:rsidR="007A430C" w:rsidRDefault="007A430C">
            <w:pPr>
              <w:spacing w:line="240" w:lineRule="atLeast"/>
              <w:rPr>
                <w:b/>
                <w:bCs/>
                <w:sz w:val="16"/>
                <w:szCs w:val="16"/>
              </w:rPr>
            </w:pPr>
            <w:r>
              <w:rPr>
                <w:b/>
                <w:bCs/>
                <w:sz w:val="16"/>
                <w:szCs w:val="16"/>
              </w:rPr>
              <w:t xml:space="preserve">Прочие потребители </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1.1</w:t>
            </w:r>
          </w:p>
        </w:tc>
        <w:tc>
          <w:tcPr>
            <w:tcW w:w="202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rPr>
                <w:sz w:val="16"/>
                <w:szCs w:val="16"/>
              </w:rPr>
            </w:pPr>
            <w:r>
              <w:rPr>
                <w:sz w:val="16"/>
                <w:szCs w:val="16"/>
              </w:rPr>
              <w:t>Одноставочный тариф</w:t>
            </w:r>
          </w:p>
        </w:tc>
        <w:tc>
          <w:tcPr>
            <w:tcW w:w="1134"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руб./</w:t>
            </w:r>
            <w:proofErr w:type="spellStart"/>
            <w:r>
              <w:rPr>
                <w:sz w:val="16"/>
                <w:szCs w:val="16"/>
              </w:rPr>
              <w:t>кВтч</w:t>
            </w:r>
            <w:proofErr w:type="spellEnd"/>
          </w:p>
        </w:tc>
        <w:tc>
          <w:tcPr>
            <w:tcW w:w="851"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0,80086</w:t>
            </w:r>
          </w:p>
        </w:tc>
        <w:tc>
          <w:tcPr>
            <w:tcW w:w="851"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1,02111</w:t>
            </w:r>
          </w:p>
        </w:tc>
        <w:tc>
          <w:tcPr>
            <w:tcW w:w="850"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1,20359</w:t>
            </w:r>
          </w:p>
        </w:tc>
        <w:tc>
          <w:tcPr>
            <w:tcW w:w="850"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2,40385</w:t>
            </w:r>
          </w:p>
        </w:tc>
        <w:tc>
          <w:tcPr>
            <w:tcW w:w="850"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0,80086</w:t>
            </w:r>
          </w:p>
        </w:tc>
        <w:tc>
          <w:tcPr>
            <w:tcW w:w="851"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1,02111</w:t>
            </w:r>
          </w:p>
        </w:tc>
        <w:tc>
          <w:tcPr>
            <w:tcW w:w="851"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1,16864</w:t>
            </w:r>
          </w:p>
        </w:tc>
        <w:tc>
          <w:tcPr>
            <w:tcW w:w="850"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2,40385</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1.2</w:t>
            </w:r>
          </w:p>
        </w:tc>
        <w:tc>
          <w:tcPr>
            <w:tcW w:w="2020" w:type="dxa"/>
            <w:tcBorders>
              <w:top w:val="single" w:sz="4" w:space="0" w:color="auto"/>
              <w:left w:val="nil"/>
              <w:bottom w:val="single" w:sz="4" w:space="0" w:color="auto"/>
              <w:right w:val="single" w:sz="4" w:space="0" w:color="auto"/>
            </w:tcBorders>
            <w:vAlign w:val="center"/>
            <w:hideMark/>
          </w:tcPr>
          <w:p w:rsidR="007A430C" w:rsidRDefault="007A430C">
            <w:pPr>
              <w:spacing w:line="240" w:lineRule="atLeast"/>
              <w:rPr>
                <w:color w:val="000000"/>
                <w:sz w:val="16"/>
                <w:szCs w:val="16"/>
              </w:rPr>
            </w:pPr>
            <w:r>
              <w:rPr>
                <w:color w:val="000000"/>
                <w:sz w:val="16"/>
                <w:szCs w:val="16"/>
              </w:rPr>
              <w:t>Двухставочный тариф</w:t>
            </w:r>
          </w:p>
        </w:tc>
        <w:tc>
          <w:tcPr>
            <w:tcW w:w="1134" w:type="dxa"/>
            <w:tcBorders>
              <w:top w:val="single" w:sz="4" w:space="0" w:color="auto"/>
              <w:left w:val="nil"/>
              <w:bottom w:val="single" w:sz="4" w:space="0" w:color="auto"/>
              <w:right w:val="single" w:sz="4" w:space="0" w:color="auto"/>
            </w:tcBorders>
            <w:noWrap/>
            <w:vAlign w:val="center"/>
          </w:tcPr>
          <w:p w:rsidR="007A430C" w:rsidRDefault="007A430C">
            <w:pPr>
              <w:spacing w:line="240" w:lineRule="atLeast"/>
              <w:jc w:val="center"/>
              <w:rPr>
                <w:sz w:val="16"/>
                <w:szCs w:val="16"/>
              </w:rPr>
            </w:pPr>
          </w:p>
        </w:tc>
        <w:tc>
          <w:tcPr>
            <w:tcW w:w="851"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 </w:t>
            </w:r>
          </w:p>
        </w:tc>
        <w:tc>
          <w:tcPr>
            <w:tcW w:w="851"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 </w:t>
            </w:r>
          </w:p>
        </w:tc>
        <w:tc>
          <w:tcPr>
            <w:tcW w:w="850"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 </w:t>
            </w:r>
          </w:p>
        </w:tc>
        <w:tc>
          <w:tcPr>
            <w:tcW w:w="850" w:type="dxa"/>
            <w:tcBorders>
              <w:top w:val="single" w:sz="4" w:space="0" w:color="auto"/>
              <w:left w:val="nil"/>
              <w:bottom w:val="single" w:sz="4" w:space="0" w:color="auto"/>
              <w:right w:val="single" w:sz="4" w:space="0" w:color="auto"/>
            </w:tcBorders>
            <w:noWrap/>
            <w:vAlign w:val="bottom"/>
            <w:hideMark/>
          </w:tcPr>
          <w:p w:rsidR="007A430C" w:rsidRDefault="007A430C">
            <w:pPr>
              <w:jc w:val="center"/>
              <w:rPr>
                <w:color w:val="000000"/>
                <w:sz w:val="18"/>
                <w:szCs w:val="24"/>
              </w:rPr>
            </w:pPr>
            <w:r>
              <w:rPr>
                <w:color w:val="000000"/>
                <w:sz w:val="18"/>
              </w:rPr>
              <w:t> </w:t>
            </w:r>
          </w:p>
        </w:tc>
        <w:tc>
          <w:tcPr>
            <w:tcW w:w="850"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 </w:t>
            </w:r>
          </w:p>
        </w:tc>
        <w:tc>
          <w:tcPr>
            <w:tcW w:w="851"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 </w:t>
            </w:r>
          </w:p>
        </w:tc>
        <w:tc>
          <w:tcPr>
            <w:tcW w:w="851"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 </w:t>
            </w:r>
          </w:p>
        </w:tc>
        <w:tc>
          <w:tcPr>
            <w:tcW w:w="850" w:type="dxa"/>
            <w:tcBorders>
              <w:top w:val="single" w:sz="4" w:space="0" w:color="auto"/>
              <w:left w:val="nil"/>
              <w:bottom w:val="single" w:sz="4" w:space="0" w:color="auto"/>
              <w:right w:val="single" w:sz="4" w:space="0" w:color="auto"/>
            </w:tcBorders>
            <w:vAlign w:val="bottom"/>
            <w:hideMark/>
          </w:tcPr>
          <w:p w:rsidR="007A430C" w:rsidRDefault="007A430C">
            <w:pPr>
              <w:jc w:val="center"/>
              <w:rPr>
                <w:color w:val="000000"/>
                <w:sz w:val="18"/>
                <w:szCs w:val="24"/>
              </w:rPr>
            </w:pPr>
            <w:r>
              <w:rPr>
                <w:color w:val="000000"/>
                <w:sz w:val="18"/>
              </w:rPr>
              <w:t> </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1.2.1</w:t>
            </w:r>
          </w:p>
        </w:tc>
        <w:tc>
          <w:tcPr>
            <w:tcW w:w="202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rPr>
                <w:sz w:val="16"/>
                <w:szCs w:val="16"/>
              </w:rPr>
            </w:pPr>
            <w:r>
              <w:rPr>
                <w:sz w:val="16"/>
                <w:szCs w:val="16"/>
              </w:rPr>
              <w:t>- ставка на содержание электрических сетей</w:t>
            </w:r>
          </w:p>
        </w:tc>
        <w:tc>
          <w:tcPr>
            <w:tcW w:w="1134"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руб./</w:t>
            </w:r>
            <w:proofErr w:type="spellStart"/>
            <w:r>
              <w:rPr>
                <w:sz w:val="16"/>
                <w:szCs w:val="16"/>
              </w:rPr>
              <w:t>кВт</w:t>
            </w:r>
            <w:proofErr w:type="gramStart"/>
            <w:r>
              <w:rPr>
                <w:sz w:val="16"/>
                <w:szCs w:val="16"/>
              </w:rPr>
              <w:t>.м</w:t>
            </w:r>
            <w:proofErr w:type="gramEnd"/>
            <w:r>
              <w:rPr>
                <w:sz w:val="16"/>
                <w:szCs w:val="16"/>
              </w:rPr>
              <w:t>ес</w:t>
            </w:r>
            <w:proofErr w:type="spellEnd"/>
            <w:r>
              <w:rPr>
                <w:sz w:val="16"/>
                <w:szCs w:val="16"/>
              </w:rPr>
              <w:t>.</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494,463</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564,647</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595,232</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951,902</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491,006</w:t>
            </w:r>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553,873</w:t>
            </w:r>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595,232</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845,147</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1.2.2</w:t>
            </w:r>
          </w:p>
        </w:tc>
        <w:tc>
          <w:tcPr>
            <w:tcW w:w="202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rPr>
                <w:sz w:val="16"/>
                <w:szCs w:val="16"/>
              </w:rPr>
            </w:pPr>
            <w:r>
              <w:rPr>
                <w:sz w:val="16"/>
                <w:szCs w:val="16"/>
              </w:rPr>
              <w:t>- ставка на оплату технологического расхода (потерь) в электрических сетях</w:t>
            </w:r>
          </w:p>
        </w:tc>
        <w:tc>
          <w:tcPr>
            <w:tcW w:w="1134"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руб./</w:t>
            </w:r>
            <w:proofErr w:type="spellStart"/>
            <w:r>
              <w:rPr>
                <w:sz w:val="16"/>
                <w:szCs w:val="16"/>
              </w:rPr>
              <w:t>кВтч</w:t>
            </w:r>
            <w:proofErr w:type="spellEnd"/>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0,05056</w:t>
            </w:r>
          </w:p>
        </w:tc>
        <w:tc>
          <w:tcPr>
            <w:tcW w:w="851"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0,08352</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0,18122</w:t>
            </w:r>
          </w:p>
        </w:tc>
        <w:tc>
          <w:tcPr>
            <w:tcW w:w="850" w:type="dxa"/>
            <w:tcBorders>
              <w:top w:val="single" w:sz="4" w:space="0" w:color="auto"/>
              <w:left w:val="nil"/>
              <w:bottom w:val="single" w:sz="4" w:space="0" w:color="auto"/>
              <w:right w:val="single" w:sz="4" w:space="0" w:color="auto"/>
            </w:tcBorders>
            <w:noWrap/>
            <w:vAlign w:val="center"/>
            <w:hideMark/>
          </w:tcPr>
          <w:p w:rsidR="007A430C" w:rsidRDefault="007A430C">
            <w:pPr>
              <w:jc w:val="center"/>
              <w:rPr>
                <w:color w:val="000000"/>
                <w:sz w:val="18"/>
                <w:szCs w:val="24"/>
              </w:rPr>
            </w:pPr>
            <w:r>
              <w:rPr>
                <w:color w:val="000000"/>
                <w:sz w:val="18"/>
              </w:rPr>
              <w:t>0,50350</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0,05056</w:t>
            </w:r>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0,08352</w:t>
            </w:r>
          </w:p>
        </w:tc>
        <w:tc>
          <w:tcPr>
            <w:tcW w:w="851"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0,18122</w:t>
            </w:r>
          </w:p>
        </w:tc>
        <w:tc>
          <w:tcPr>
            <w:tcW w:w="850" w:type="dxa"/>
            <w:tcBorders>
              <w:top w:val="single" w:sz="4" w:space="0" w:color="auto"/>
              <w:left w:val="nil"/>
              <w:bottom w:val="single" w:sz="4" w:space="0" w:color="auto"/>
              <w:right w:val="single" w:sz="4" w:space="0" w:color="auto"/>
            </w:tcBorders>
            <w:vAlign w:val="center"/>
            <w:hideMark/>
          </w:tcPr>
          <w:p w:rsidR="007A430C" w:rsidRDefault="007A430C">
            <w:pPr>
              <w:jc w:val="center"/>
              <w:rPr>
                <w:color w:val="000000"/>
                <w:sz w:val="18"/>
                <w:szCs w:val="24"/>
              </w:rPr>
            </w:pPr>
            <w:r>
              <w:rPr>
                <w:color w:val="000000"/>
                <w:sz w:val="18"/>
              </w:rPr>
              <w:t>0,50350</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2</w:t>
            </w:r>
          </w:p>
        </w:tc>
        <w:tc>
          <w:tcPr>
            <w:tcW w:w="9958" w:type="dxa"/>
            <w:gridSpan w:val="10"/>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rPr>
                <w:b/>
                <w:bCs/>
                <w:sz w:val="16"/>
                <w:szCs w:val="16"/>
              </w:rPr>
            </w:pPr>
            <w:r>
              <w:rPr>
                <w:b/>
                <w:bCs/>
                <w:sz w:val="16"/>
                <w:szCs w:val="16"/>
              </w:rPr>
              <w:t>Население и приравненные к нему категории потребителей *</w:t>
            </w:r>
          </w:p>
        </w:tc>
      </w:tr>
      <w:tr w:rsidR="007A430C" w:rsidTr="007A430C">
        <w:trPr>
          <w:trHeight w:val="270"/>
        </w:trPr>
        <w:tc>
          <w:tcPr>
            <w:tcW w:w="782" w:type="dxa"/>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sz w:val="16"/>
                <w:szCs w:val="16"/>
              </w:rPr>
              <w:t>2.1</w:t>
            </w:r>
          </w:p>
        </w:tc>
        <w:tc>
          <w:tcPr>
            <w:tcW w:w="2020"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rPr>
                <w:sz w:val="16"/>
                <w:szCs w:val="16"/>
              </w:rPr>
            </w:pPr>
            <w:r>
              <w:rPr>
                <w:sz w:val="16"/>
                <w:szCs w:val="16"/>
              </w:rPr>
              <w:t>Одноставочный тариф</w:t>
            </w:r>
          </w:p>
        </w:tc>
        <w:tc>
          <w:tcPr>
            <w:tcW w:w="1134" w:type="dxa"/>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руб./</w:t>
            </w:r>
            <w:proofErr w:type="spellStart"/>
            <w:r>
              <w:rPr>
                <w:sz w:val="16"/>
                <w:szCs w:val="16"/>
              </w:rPr>
              <w:t>кВтч</w:t>
            </w:r>
            <w:proofErr w:type="spellEnd"/>
          </w:p>
        </w:tc>
        <w:tc>
          <w:tcPr>
            <w:tcW w:w="3402" w:type="dxa"/>
            <w:gridSpan w:val="4"/>
            <w:tcBorders>
              <w:top w:val="single" w:sz="4" w:space="0" w:color="auto"/>
              <w:left w:val="nil"/>
              <w:bottom w:val="single" w:sz="4" w:space="0" w:color="auto"/>
              <w:right w:val="single" w:sz="4" w:space="0" w:color="auto"/>
            </w:tcBorders>
            <w:noWrap/>
            <w:vAlign w:val="bottom"/>
            <w:hideMark/>
          </w:tcPr>
          <w:p w:rsidR="007A430C" w:rsidRDefault="007A430C">
            <w:pPr>
              <w:spacing w:line="240" w:lineRule="atLeast"/>
              <w:jc w:val="center"/>
              <w:rPr>
                <w:sz w:val="16"/>
                <w:szCs w:val="16"/>
              </w:rPr>
            </w:pPr>
            <w:r>
              <w:rPr>
                <w:sz w:val="16"/>
                <w:szCs w:val="16"/>
              </w:rPr>
              <w:t>0,52023</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0,52023</w:t>
            </w:r>
          </w:p>
        </w:tc>
      </w:tr>
      <w:tr w:rsidR="007A430C" w:rsidTr="007A430C">
        <w:trPr>
          <w:trHeight w:val="270"/>
        </w:trPr>
        <w:tc>
          <w:tcPr>
            <w:tcW w:w="782" w:type="dxa"/>
            <w:vMerge w:val="restart"/>
            <w:tcBorders>
              <w:top w:val="single" w:sz="4" w:space="0" w:color="auto"/>
              <w:left w:val="single" w:sz="4" w:space="0" w:color="auto"/>
              <w:bottom w:val="single" w:sz="4" w:space="0" w:color="auto"/>
              <w:right w:val="single" w:sz="4" w:space="0" w:color="auto"/>
            </w:tcBorders>
            <w:noWrap/>
            <w:hideMark/>
          </w:tcPr>
          <w:p w:rsidR="007A430C" w:rsidRDefault="007A430C">
            <w:pPr>
              <w:spacing w:line="240" w:lineRule="atLeast"/>
              <w:jc w:val="center"/>
              <w:rPr>
                <w:sz w:val="16"/>
                <w:szCs w:val="16"/>
              </w:rPr>
            </w:pPr>
            <w:r>
              <w:rPr>
                <w:b/>
                <w:bCs/>
                <w:sz w:val="16"/>
                <w:szCs w:val="16"/>
              </w:rPr>
              <w:t>№</w:t>
            </w:r>
            <w:proofErr w:type="gramStart"/>
            <w:r>
              <w:rPr>
                <w:b/>
                <w:bCs/>
                <w:sz w:val="16"/>
                <w:szCs w:val="16"/>
              </w:rPr>
              <w:t>п</w:t>
            </w:r>
            <w:proofErr w:type="gramEnd"/>
            <w:r>
              <w:rPr>
                <w:b/>
                <w:bCs/>
                <w:sz w:val="16"/>
                <w:szCs w:val="16"/>
              </w:rPr>
              <w:t>/п</w:t>
            </w:r>
          </w:p>
        </w:tc>
        <w:tc>
          <w:tcPr>
            <w:tcW w:w="6556" w:type="dxa"/>
            <w:gridSpan w:val="6"/>
            <w:vMerge w:val="restart"/>
            <w:tcBorders>
              <w:top w:val="single" w:sz="4" w:space="0" w:color="auto"/>
              <w:left w:val="nil"/>
              <w:bottom w:val="single" w:sz="4" w:space="0" w:color="auto"/>
              <w:right w:val="single" w:sz="4" w:space="0" w:color="auto"/>
            </w:tcBorders>
            <w:noWrap/>
            <w:vAlign w:val="center"/>
            <w:hideMark/>
          </w:tcPr>
          <w:p w:rsidR="007A430C" w:rsidRDefault="007A430C">
            <w:pPr>
              <w:spacing w:line="240" w:lineRule="atLeast"/>
              <w:jc w:val="center"/>
              <w:rPr>
                <w:sz w:val="16"/>
                <w:szCs w:val="16"/>
              </w:rPr>
            </w:pPr>
            <w:r>
              <w:rPr>
                <w:sz w:val="16"/>
                <w:szCs w:val="16"/>
              </w:rPr>
              <w:t xml:space="preserve">Наименование сетей организации с указанием необходимой валовой выручки (без учета оплаты потерь), НВВ которой </w:t>
            </w:r>
            <w:proofErr w:type="gramStart"/>
            <w:r>
              <w:rPr>
                <w:sz w:val="16"/>
                <w:szCs w:val="16"/>
              </w:rPr>
              <w:t>учтена</w:t>
            </w:r>
            <w:proofErr w:type="gramEnd"/>
            <w:r>
              <w:rPr>
                <w:sz w:val="16"/>
                <w:szCs w:val="16"/>
              </w:rPr>
              <w:t xml:space="preserve"> при утверждении (расчете) единых (котловых) тарифов на услуги по передаче электрической энергии в Кемеровской области</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 xml:space="preserve">НВВ сетевых организаций без учета оплаты  потерь, </w:t>
            </w:r>
            <w:proofErr w:type="gramStart"/>
            <w:r>
              <w:rPr>
                <w:sz w:val="16"/>
                <w:szCs w:val="16"/>
              </w:rPr>
              <w:t>учтенная</w:t>
            </w:r>
            <w:proofErr w:type="gramEnd"/>
            <w:r>
              <w:rPr>
                <w:sz w:val="16"/>
                <w:szCs w:val="16"/>
              </w:rPr>
              <w:t xml:space="preserve"> при утверждении (расчете) единых (котловых) тарифов на услуги по передаче электрической энергии в Кемеровской области</w:t>
            </w:r>
          </w:p>
        </w:tc>
      </w:tr>
      <w:tr w:rsidR="007A430C" w:rsidTr="007A430C">
        <w:trPr>
          <w:trHeight w:val="270"/>
        </w:trPr>
        <w:tc>
          <w:tcPr>
            <w:tcW w:w="7338" w:type="dxa"/>
            <w:vMerge/>
            <w:tcBorders>
              <w:top w:val="single" w:sz="4" w:space="0" w:color="auto"/>
              <w:left w:val="single" w:sz="4" w:space="0" w:color="auto"/>
              <w:bottom w:val="single" w:sz="4" w:space="0" w:color="auto"/>
              <w:right w:val="single" w:sz="4" w:space="0" w:color="auto"/>
            </w:tcBorders>
            <w:vAlign w:val="center"/>
            <w:hideMark/>
          </w:tcPr>
          <w:p w:rsidR="007A430C" w:rsidRDefault="007A430C">
            <w:pPr>
              <w:rPr>
                <w:sz w:val="16"/>
                <w:szCs w:val="16"/>
              </w:rPr>
            </w:pPr>
          </w:p>
        </w:tc>
        <w:tc>
          <w:tcPr>
            <w:tcW w:w="17045" w:type="dxa"/>
            <w:gridSpan w:val="6"/>
            <w:vMerge/>
            <w:tcBorders>
              <w:top w:val="single" w:sz="4" w:space="0" w:color="auto"/>
              <w:left w:val="nil"/>
              <w:bottom w:val="single" w:sz="4" w:space="0" w:color="auto"/>
              <w:right w:val="single" w:sz="4" w:space="0" w:color="auto"/>
            </w:tcBorders>
            <w:vAlign w:val="center"/>
            <w:hideMark/>
          </w:tcPr>
          <w:p w:rsidR="007A430C" w:rsidRDefault="007A430C">
            <w:pPr>
              <w:rPr>
                <w:sz w:val="16"/>
                <w:szCs w:val="16"/>
              </w:rPr>
            </w:pP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spacing w:line="240" w:lineRule="atLeast"/>
              <w:jc w:val="center"/>
              <w:rPr>
                <w:sz w:val="16"/>
                <w:szCs w:val="16"/>
              </w:rPr>
            </w:pPr>
            <w:r>
              <w:rPr>
                <w:sz w:val="16"/>
                <w:szCs w:val="16"/>
              </w:rPr>
              <w:t>тыс. руб.</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Асфарма</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567,57</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АэроКузбасс</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877,13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w:t>
            </w:r>
            <w:proofErr w:type="spellStart"/>
            <w:r>
              <w:t>Анжерский</w:t>
            </w:r>
            <w:proofErr w:type="spellEnd"/>
            <w:r>
              <w:t xml:space="preserve"> машиностроительный завод"</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901,98</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Желдорэнерго</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2 554,50</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ЗАО "Водоканал"</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769,25</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"Горнорежущий инструмент"</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2 062,23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Горэлектросеть</w:t>
            </w:r>
            <w:proofErr w:type="spellEnd"/>
            <w:r>
              <w:t>" г. Новокузнецк</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369 565,89</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ЕвразЭнергоТранс</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827 123,36</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"Железобетон - сервис"</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3 205,13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"Завод Универсал"</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861,96</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"Знамя"</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555,27</w:t>
            </w:r>
          </w:p>
        </w:tc>
      </w:tr>
      <w:tr w:rsidR="007A430C" w:rsidTr="007A430C">
        <w:trPr>
          <w:trHeight w:hRule="exact" w:val="469"/>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proofErr w:type="spellStart"/>
            <w:r>
              <w:t>Западно</w:t>
            </w:r>
            <w:proofErr w:type="spellEnd"/>
            <w:r>
              <w:t xml:space="preserve"> - Сибирская дирекция по энергообеспечению – структурное подразделение </w:t>
            </w:r>
            <w:proofErr w:type="spellStart"/>
            <w:r>
              <w:t>Трансэнерго</w:t>
            </w:r>
            <w:proofErr w:type="spellEnd"/>
            <w:r>
              <w:t xml:space="preserve"> - филиала ОАО "РЖД</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48 196,31</w:t>
            </w:r>
          </w:p>
        </w:tc>
      </w:tr>
      <w:tr w:rsidR="007A430C" w:rsidTr="007A430C">
        <w:trPr>
          <w:trHeight w:hRule="exact" w:val="472"/>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 xml:space="preserve">Красноярская дирекция по энергообеспечению – структурное подразделение </w:t>
            </w:r>
            <w:proofErr w:type="spellStart"/>
            <w:r>
              <w:t>Трансэнерго</w:t>
            </w:r>
            <w:proofErr w:type="spellEnd"/>
            <w:r>
              <w:t xml:space="preserve"> - филиала ОАО "РЖД"</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9 343,98</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Филиал ОАО "МРСК Сибири" - "Кузбассэнерго - РЭС"</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1 534 300,90</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"УК "Кузбассразрезуголь"</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5 189,85</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"Кузбасская энергосетевая компания"</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3 454 879,23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w:t>
            </w:r>
            <w:proofErr w:type="spellStart"/>
            <w:r>
              <w:t>КузбассЭлектро</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217 021,40</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Кузнецкэнерго</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5 264,14</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КВСК - филиал ОАО "Алтайвагон"</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667,27</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Мысковская</w:t>
            </w:r>
            <w:proofErr w:type="spellEnd"/>
            <w:r>
              <w:t xml:space="preserve"> электросетевая организация"</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93 399,13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w:t>
            </w:r>
            <w:proofErr w:type="spellStart"/>
            <w:r>
              <w:t>Оборонэнерго</w:t>
            </w:r>
            <w:proofErr w:type="spellEnd"/>
            <w:r>
              <w:t>" филиал "Сибирский"</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27 910,05</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ЗАО "Прокопьевскэнерго"</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390 684,10</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Промэнерго</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10 344,98</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«НЭС»</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128 446,61</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"РУСАЛ НКАЗ"</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36,05</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ОП ООО "</w:t>
            </w:r>
            <w:proofErr w:type="gramStart"/>
            <w:r>
              <w:t>ОК</w:t>
            </w:r>
            <w:proofErr w:type="gramEnd"/>
            <w:r>
              <w:t xml:space="preserve"> РУСАЛ Энергосеть"</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10 841,77</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"СКЭК"</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1 743 798,83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"Управляющая компания "Серебряный бор"</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2 465,45</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ЗАО "Сибирская Промышленная Сетевая Компания"</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118 947,22</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"СШЭМК"</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36 820,77</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ОАО "СУЭК - Кузбасс"</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33 991,53</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МУП "ТРСК Новокузнецкого района"</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40 714,09</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ЗАО "Электросеть"</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413 094,76</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 xml:space="preserve">ООО "УК "ЖКХ" </w:t>
            </w:r>
            <w:proofErr w:type="spellStart"/>
            <w:r>
              <w:t>Прокопьевского</w:t>
            </w:r>
            <w:proofErr w:type="spellEnd"/>
            <w:r>
              <w:t xml:space="preserve"> района</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12 228,39</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"Химпром"</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12 535,47</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"Электросетевая Компания Кузбасса"</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69 421,74</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"Электросеть"</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164 238,16</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Энергоконсалт</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25 576,02</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"Энергосеть" (г. Новокузнецк)</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6 624,10</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Энергорезерв</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37 984,56</w:t>
            </w:r>
          </w:p>
        </w:tc>
      </w:tr>
      <w:tr w:rsidR="007A430C" w:rsidTr="007A430C">
        <w:trPr>
          <w:trHeight w:hRule="exact" w:val="284"/>
        </w:trPr>
        <w:tc>
          <w:tcPr>
            <w:tcW w:w="782" w:type="dxa"/>
            <w:tcBorders>
              <w:top w:val="single" w:sz="4" w:space="0" w:color="auto"/>
              <w:left w:val="single" w:sz="4" w:space="0" w:color="auto"/>
              <w:bottom w:val="single" w:sz="4" w:space="0" w:color="auto"/>
              <w:right w:val="single" w:sz="4" w:space="0" w:color="auto"/>
            </w:tcBorders>
            <w:noWrap/>
          </w:tcPr>
          <w:p w:rsidR="007A430C" w:rsidRDefault="007A430C" w:rsidP="00E75C36">
            <w:pPr>
              <w:numPr>
                <w:ilvl w:val="0"/>
                <w:numId w:val="1"/>
              </w:numPr>
              <w:spacing w:line="240" w:lineRule="atLeast"/>
              <w:jc w:val="center"/>
            </w:pPr>
          </w:p>
        </w:tc>
        <w:tc>
          <w:tcPr>
            <w:tcW w:w="6556" w:type="dxa"/>
            <w:gridSpan w:val="6"/>
            <w:tcBorders>
              <w:top w:val="single" w:sz="4" w:space="0" w:color="auto"/>
              <w:left w:val="nil"/>
              <w:bottom w:val="single" w:sz="4" w:space="0" w:color="auto"/>
              <w:right w:val="single" w:sz="4" w:space="0" w:color="auto"/>
            </w:tcBorders>
            <w:noWrap/>
            <w:vAlign w:val="center"/>
            <w:hideMark/>
          </w:tcPr>
          <w:p w:rsidR="007A430C" w:rsidRDefault="007A430C">
            <w:r>
              <w:t>ООО "</w:t>
            </w:r>
            <w:proofErr w:type="spellStart"/>
            <w:r>
              <w:t>Энергопромсервис</w:t>
            </w:r>
            <w:proofErr w:type="spellEnd"/>
            <w:r>
              <w:t>"</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213,78</w:t>
            </w:r>
          </w:p>
        </w:tc>
      </w:tr>
      <w:tr w:rsidR="007A430C" w:rsidTr="007A430C">
        <w:trPr>
          <w:trHeight w:hRule="exact" w:val="284"/>
        </w:trPr>
        <w:tc>
          <w:tcPr>
            <w:tcW w:w="7338" w:type="dxa"/>
            <w:gridSpan w:val="7"/>
            <w:tcBorders>
              <w:top w:val="single" w:sz="4" w:space="0" w:color="auto"/>
              <w:left w:val="single" w:sz="4" w:space="0" w:color="auto"/>
              <w:bottom w:val="single" w:sz="4" w:space="0" w:color="auto"/>
              <w:right w:val="single" w:sz="4" w:space="0" w:color="auto"/>
            </w:tcBorders>
            <w:noWrap/>
            <w:hideMark/>
          </w:tcPr>
          <w:p w:rsidR="007A430C" w:rsidRDefault="007A430C">
            <w:r>
              <w:t>ВСЕГО</w:t>
            </w:r>
          </w:p>
        </w:tc>
        <w:tc>
          <w:tcPr>
            <w:tcW w:w="3402" w:type="dxa"/>
            <w:gridSpan w:val="4"/>
            <w:tcBorders>
              <w:top w:val="single" w:sz="4" w:space="0" w:color="auto"/>
              <w:left w:val="nil"/>
              <w:bottom w:val="single" w:sz="4" w:space="0" w:color="auto"/>
              <w:right w:val="single" w:sz="4" w:space="0" w:color="auto"/>
            </w:tcBorders>
            <w:vAlign w:val="center"/>
            <w:hideMark/>
          </w:tcPr>
          <w:p w:rsidR="007A430C" w:rsidRDefault="007A430C">
            <w:pPr>
              <w:jc w:val="right"/>
            </w:pPr>
            <w:r>
              <w:t>9 864 224,91</w:t>
            </w:r>
          </w:p>
        </w:tc>
      </w:tr>
    </w:tbl>
    <w:p w:rsidR="007A430C" w:rsidRDefault="007A430C" w:rsidP="007A430C">
      <w:pPr>
        <w:autoSpaceDE w:val="0"/>
        <w:autoSpaceDN w:val="0"/>
        <w:adjustRightInd w:val="0"/>
        <w:spacing w:line="240" w:lineRule="atLeast"/>
        <w:ind w:firstLine="540"/>
        <w:jc w:val="both"/>
        <w:outlineLvl w:val="0"/>
      </w:pPr>
    </w:p>
    <w:p w:rsidR="007A430C" w:rsidRDefault="007A430C" w:rsidP="007A430C">
      <w:pPr>
        <w:autoSpaceDE w:val="0"/>
        <w:autoSpaceDN w:val="0"/>
        <w:adjustRightInd w:val="0"/>
        <w:ind w:firstLine="539"/>
        <w:jc w:val="both"/>
        <w:outlineLvl w:val="0"/>
      </w:pPr>
      <w:proofErr w:type="gramStart"/>
      <w:r>
        <w:t>&lt;*&gt; Исполнители коммунальных усл</w:t>
      </w:r>
      <w:bookmarkStart w:id="0" w:name="_GoBack"/>
      <w:bookmarkEnd w:id="0"/>
      <w:r>
        <w:t xml:space="preserve">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t>наймодатели</w:t>
      </w:r>
      <w:proofErr w:type="spellEnd"/>
      <w:r>
        <w:t xml:space="preserve"> (или уполномоченные ими лица), предоставляющие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w:t>
      </w:r>
      <w:proofErr w:type="gramEnd"/>
      <w:r>
        <w:t xml:space="preserve">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населения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
    <w:p w:rsidR="007A430C" w:rsidRDefault="007A430C" w:rsidP="007A430C">
      <w:pPr>
        <w:autoSpaceDE w:val="0"/>
        <w:autoSpaceDN w:val="0"/>
        <w:adjustRightInd w:val="0"/>
        <w:ind w:firstLine="539"/>
        <w:jc w:val="both"/>
        <w:outlineLvl w:val="0"/>
      </w:pPr>
      <w:proofErr w:type="gramStart"/>
      <w:r>
        <w:t xml:space="preserve">- гарантирующие поставщики, </w:t>
      </w:r>
      <w:proofErr w:type="spellStart"/>
      <w:r>
        <w:t>энергосбытовые</w:t>
      </w:r>
      <w:proofErr w:type="spellEnd"/>
      <w:r>
        <w:t xml:space="preserve">, </w:t>
      </w:r>
      <w:proofErr w:type="spellStart"/>
      <w:r>
        <w:t>энергоснабжающие</w:t>
      </w:r>
      <w:proofErr w:type="spellEnd"/>
      <w: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используемого для осуществления коммерческой (профессиональной) деятельности;</w:t>
      </w:r>
      <w:proofErr w:type="gramEnd"/>
    </w:p>
    <w:p w:rsidR="007A430C" w:rsidRDefault="007A430C" w:rsidP="007A430C">
      <w:pPr>
        <w:autoSpaceDE w:val="0"/>
        <w:autoSpaceDN w:val="0"/>
        <w:adjustRightInd w:val="0"/>
        <w:ind w:firstLine="539"/>
        <w:jc w:val="both"/>
        <w:outlineLvl w:val="0"/>
      </w:pPr>
      <w:r>
        <w:t>-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7A430C" w:rsidRDefault="007A430C" w:rsidP="007A430C">
      <w:pPr>
        <w:autoSpaceDE w:val="0"/>
        <w:autoSpaceDN w:val="0"/>
        <w:adjustRightInd w:val="0"/>
        <w:ind w:firstLine="539"/>
        <w:jc w:val="both"/>
        <w:outlineLvl w:val="0"/>
      </w:pPr>
      <w:r>
        <w:t>- юридические лица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для указанных помещений;</w:t>
      </w:r>
    </w:p>
    <w:p w:rsidR="007A430C" w:rsidRDefault="007A430C" w:rsidP="007A430C">
      <w:pPr>
        <w:autoSpaceDE w:val="0"/>
        <w:autoSpaceDN w:val="0"/>
        <w:adjustRightInd w:val="0"/>
        <w:ind w:firstLine="539"/>
        <w:jc w:val="both"/>
        <w:outlineLvl w:val="0"/>
      </w:pPr>
      <w:r>
        <w:t>- юридические и физические лица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рассчитывающихся по договору энергоснабжения (купли-продажи) по общему счетчику;</w:t>
      </w:r>
    </w:p>
    <w:p w:rsidR="007A430C" w:rsidRDefault="007A430C" w:rsidP="007A430C">
      <w:pPr>
        <w:autoSpaceDE w:val="0"/>
        <w:autoSpaceDN w:val="0"/>
        <w:adjustRightInd w:val="0"/>
        <w:ind w:firstLine="539"/>
        <w:jc w:val="both"/>
        <w:outlineLvl w:val="0"/>
      </w:pPr>
      <w:r>
        <w:t>- содержащиеся за счет прихожан религиозные организации;</w:t>
      </w:r>
    </w:p>
    <w:p w:rsidR="007A430C" w:rsidRDefault="007A430C" w:rsidP="007A430C">
      <w:pPr>
        <w:autoSpaceDE w:val="0"/>
        <w:autoSpaceDN w:val="0"/>
        <w:adjustRightInd w:val="0"/>
        <w:ind w:firstLine="539"/>
        <w:jc w:val="both"/>
        <w:outlineLvl w:val="0"/>
      </w:pPr>
      <w:r>
        <w:t>- хозяйственные постройки физических лиц (погреба, сараи и иные сооружения аналогичного назначения);</w:t>
      </w:r>
    </w:p>
    <w:p w:rsidR="007A430C" w:rsidRDefault="007A430C" w:rsidP="007A430C">
      <w:pPr>
        <w:autoSpaceDE w:val="0"/>
        <w:autoSpaceDN w:val="0"/>
        <w:adjustRightInd w:val="0"/>
        <w:ind w:firstLine="539"/>
        <w:jc w:val="both"/>
        <w:outlineLvl w:val="0"/>
      </w:pPr>
      <w:r>
        <w:t>- некоммерческие объединения граждан (гаражно-строительные, гаражные кооперативы) и отдельно стоящие гаражи, принадлежащие гражданам, в части приобретаемого объема электрической энергии в целях потребления на коммунально-бытовые нужды граждан и не используемого для осуществления коммерческой деятельности.</w:t>
      </w:r>
    </w:p>
    <w:p w:rsidR="007A430C" w:rsidRDefault="007A430C" w:rsidP="007A430C">
      <w:pPr>
        <w:autoSpaceDE w:val="0"/>
        <w:autoSpaceDN w:val="0"/>
        <w:adjustRightInd w:val="0"/>
        <w:ind w:firstLine="539"/>
        <w:jc w:val="both"/>
        <w:outlineLvl w:val="0"/>
      </w:pPr>
      <w:r>
        <w:rPr>
          <w:b/>
        </w:rPr>
        <w:t>Примечание 1.</w:t>
      </w:r>
      <w:r>
        <w:t xml:space="preserve"> </w:t>
      </w:r>
      <w:proofErr w:type="gramStart"/>
      <w:r>
        <w:t>Стоимость услуг по передаче электрической энергии по единой национальной (общероссийской) сети, оказываемые ОАО "Федеральная сетевая компания Единой энергетической системы", включена в котловые тарифы на услуги по передаче электрической энергии на территории Кемеровской области.</w:t>
      </w:r>
      <w:proofErr w:type="gramEnd"/>
    </w:p>
    <w:p w:rsidR="007A430C" w:rsidRDefault="007A430C" w:rsidP="007A430C">
      <w:pPr>
        <w:autoSpaceDE w:val="0"/>
        <w:autoSpaceDN w:val="0"/>
        <w:adjustRightInd w:val="0"/>
        <w:ind w:firstLine="539"/>
        <w:jc w:val="both"/>
        <w:outlineLvl w:val="0"/>
      </w:pPr>
    </w:p>
    <w:p w:rsidR="007A430C" w:rsidRDefault="007A430C" w:rsidP="007A430C">
      <w:pPr>
        <w:autoSpaceDE w:val="0"/>
        <w:autoSpaceDN w:val="0"/>
        <w:adjustRightInd w:val="0"/>
        <w:ind w:firstLine="539"/>
        <w:jc w:val="both"/>
        <w:outlineLvl w:val="0"/>
      </w:pPr>
      <w:r>
        <w:rPr>
          <w:b/>
        </w:rPr>
        <w:t>Примечание 2.</w:t>
      </w:r>
      <w:r>
        <w:t xml:space="preserve"> </w:t>
      </w:r>
      <w:proofErr w:type="gramStart"/>
      <w:r>
        <w:t xml:space="preserve">Для потребителей электрической энергии, </w:t>
      </w:r>
      <w:proofErr w:type="spellStart"/>
      <w:r>
        <w:t>энергопринимающие</w:t>
      </w:r>
      <w:proofErr w:type="spellEnd"/>
      <w:r>
        <w:t xml:space="preserve"> устройства которых присоединены к электрическим сетям сетевой организации через энергетические установки производителя </w:t>
      </w:r>
      <w:r>
        <w:lastRenderedPageBreak/>
        <w:t>электрической энергии, тарифы установлены с учетом следующих особенностей оплаты услуг по передаче электрической энергии:</w:t>
      </w:r>
      <w:proofErr w:type="gramEnd"/>
    </w:p>
    <w:p w:rsidR="007A430C" w:rsidRDefault="007A430C" w:rsidP="007A430C">
      <w:pPr>
        <w:autoSpaceDE w:val="0"/>
        <w:autoSpaceDN w:val="0"/>
        <w:adjustRightInd w:val="0"/>
        <w:ind w:firstLine="539"/>
        <w:jc w:val="both"/>
        <w:outlineLvl w:val="0"/>
      </w:pPr>
      <w:proofErr w:type="gramStart"/>
      <w:r>
        <w:t xml:space="preserve">- в случае если все </w:t>
      </w:r>
      <w:proofErr w:type="spellStart"/>
      <w:r>
        <w:t>энергопринимающие</w:t>
      </w:r>
      <w:proofErr w:type="spellEnd"/>
      <w:r>
        <w:t xml:space="preserve"> устройства потребителя присоединены к электрическим сетям сетевой организации через энергетические установки производителя электрической энергии и потребитель получает от данного производителя весь объем потребляемой электрической энергии, потребитель оплачивает услуги по передаче электрической энергии по установленной ставке тарифа на содержание электрических сетей для уровня напряжения, на котором производитель присоединен к электрическим сетям сетевой организации по напряжению станции</w:t>
      </w:r>
      <w:proofErr w:type="gramEnd"/>
      <w:r>
        <w:t xml:space="preserve"> наиболее высокого уровня;</w:t>
      </w:r>
    </w:p>
    <w:p w:rsidR="007A430C" w:rsidRDefault="007A430C" w:rsidP="007A430C">
      <w:pPr>
        <w:autoSpaceDE w:val="0"/>
        <w:autoSpaceDN w:val="0"/>
        <w:adjustRightInd w:val="0"/>
        <w:ind w:firstLine="539"/>
        <w:jc w:val="both"/>
        <w:outlineLvl w:val="0"/>
      </w:pPr>
      <w:r>
        <w:t>- в случае если часть энергопринимающих устройств потребителя присоединена к электрическим сетям сетевой организации через энергетические установки производителя электрической энергии, а часть - непосредственно, величина заявленной мощности потребителя указывается отдельно для непосредственных присоединений и присоединений к электрическим сетям сетевой организации через энергетические установки производителя электрической энергии. При этом потребитель оплачивает услуги по передаче электрической энергии:</w:t>
      </w:r>
    </w:p>
    <w:p w:rsidR="007A430C" w:rsidRDefault="007A430C" w:rsidP="007A430C">
      <w:pPr>
        <w:autoSpaceDE w:val="0"/>
        <w:autoSpaceDN w:val="0"/>
        <w:adjustRightInd w:val="0"/>
        <w:ind w:firstLine="539"/>
        <w:jc w:val="both"/>
        <w:outlineLvl w:val="0"/>
      </w:pPr>
      <w:r>
        <w:t>при присоединении к электрическим сетям сетевой организации через энергетические установки производителя электрической энергии - за заявленную мощность энергоустановок, присоединенных к электрическим сетям сетевой организации через энергетические установки производителя электрической энергии, аналогично положениям абзаца второго настоящего пункта;</w:t>
      </w:r>
    </w:p>
    <w:p w:rsidR="007A430C" w:rsidRDefault="007A430C" w:rsidP="007A430C">
      <w:pPr>
        <w:autoSpaceDE w:val="0"/>
        <w:autoSpaceDN w:val="0"/>
        <w:adjustRightInd w:val="0"/>
        <w:ind w:firstLine="539"/>
        <w:jc w:val="both"/>
        <w:outlineLvl w:val="0"/>
      </w:pPr>
      <w:r>
        <w:t xml:space="preserve">при непосредственном присоединении - по установленному тарифу на услуги по передаче электрической энергии для уровня напряжения, на котором </w:t>
      </w:r>
      <w:proofErr w:type="spellStart"/>
      <w:r>
        <w:t>энергопринимающие</w:t>
      </w:r>
      <w:proofErr w:type="spellEnd"/>
      <w:r>
        <w:t xml:space="preserve"> устройства потребителя непосредственно присоединены к электрическим сетям сетевой организации (с учетом п.45 Методических указаний). При этом оплата производится по ставке тарифа на содержание электрических сетей - за заявленную мощность энергоустановок, непосредственно присоединенных к электрическим сетям, а по ставке тарифа на оплату технологического расхода (потерь) электрической энергии - за объем электрической энергии, получаемой потребителем из электрической сети.</w:t>
      </w:r>
    </w:p>
    <w:p w:rsidR="007A430C" w:rsidRDefault="007A430C" w:rsidP="007A430C">
      <w:pPr>
        <w:tabs>
          <w:tab w:val="left" w:pos="1134"/>
        </w:tabs>
        <w:autoSpaceDE w:val="0"/>
        <w:autoSpaceDN w:val="0"/>
        <w:adjustRightInd w:val="0"/>
        <w:ind w:right="283" w:firstLine="709"/>
        <w:jc w:val="both"/>
        <w:rPr>
          <w:b/>
          <w:sz w:val="28"/>
          <w:szCs w:val="28"/>
        </w:rPr>
      </w:pPr>
    </w:p>
    <w:p w:rsidR="007A430C" w:rsidRDefault="007A430C" w:rsidP="007A430C">
      <w:pPr>
        <w:rPr>
          <w:sz w:val="16"/>
          <w:szCs w:val="16"/>
        </w:rPr>
      </w:pPr>
    </w:p>
    <w:p w:rsidR="00F80DCE" w:rsidRDefault="00F80DCE"/>
    <w:sectPr w:rsidR="00F80DCE" w:rsidSect="007A430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72C14"/>
    <w:multiLevelType w:val="hybridMultilevel"/>
    <w:tmpl w:val="7DA0E238"/>
    <w:lvl w:ilvl="0" w:tplc="63B46DC0">
      <w:start w:val="1"/>
      <w:numFmt w:val="decimal"/>
      <w:lvlText w:val="%1."/>
      <w:lvlJc w:val="left"/>
      <w:pPr>
        <w:tabs>
          <w:tab w:val="num" w:pos="1077"/>
        </w:tabs>
        <w:ind w:left="284" w:hanging="171"/>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11"/>
    <w:rsid w:val="007A2ACF"/>
    <w:rsid w:val="007A430C"/>
    <w:rsid w:val="00AB2B11"/>
    <w:rsid w:val="00F416DE"/>
    <w:rsid w:val="00F80DCE"/>
    <w:rsid w:val="00FB3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0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7A430C"/>
    <w:pPr>
      <w:keepNext/>
      <w:spacing w:line="360"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A430C"/>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0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7A430C"/>
    <w:pPr>
      <w:keepNext/>
      <w:spacing w:line="360"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A430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guselshikov</dc:creator>
  <cp:keywords/>
  <dc:description/>
  <cp:lastModifiedBy>neznanov</cp:lastModifiedBy>
  <cp:revision>4</cp:revision>
  <dcterms:created xsi:type="dcterms:W3CDTF">2014-03-20T07:03:00Z</dcterms:created>
  <dcterms:modified xsi:type="dcterms:W3CDTF">2014-03-28T15:00:00Z</dcterms:modified>
</cp:coreProperties>
</file>