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B41" w:rsidRPr="00D72D5C" w:rsidRDefault="00344B41" w:rsidP="00344B41">
      <w:pPr>
        <w:pStyle w:val="FR1"/>
        <w:ind w:left="0"/>
        <w:jc w:val="right"/>
      </w:pPr>
      <w:r w:rsidRPr="00D72D5C">
        <w:t xml:space="preserve">Приложение </w:t>
      </w:r>
      <w:r>
        <w:t>№</w:t>
      </w:r>
      <w:r w:rsidRPr="00D72D5C">
        <w:t>1</w:t>
      </w:r>
    </w:p>
    <w:p w:rsidR="00344B41" w:rsidRDefault="00344B41" w:rsidP="00344B41">
      <w:pPr>
        <w:pStyle w:val="FR1"/>
        <w:ind w:left="0"/>
        <w:jc w:val="right"/>
      </w:pPr>
      <w:r w:rsidRPr="00D72D5C">
        <w:t xml:space="preserve">к постановлению </w:t>
      </w:r>
      <w:proofErr w:type="gramStart"/>
      <w:r>
        <w:t>региональн</w:t>
      </w:r>
      <w:r w:rsidRPr="00D72D5C">
        <w:t>ой</w:t>
      </w:r>
      <w:proofErr w:type="gramEnd"/>
      <w:r>
        <w:t xml:space="preserve"> энергетической</w:t>
      </w:r>
    </w:p>
    <w:p w:rsidR="00344B41" w:rsidRDefault="00344B41" w:rsidP="00344B41">
      <w:pPr>
        <w:pStyle w:val="FR1"/>
        <w:ind w:left="0"/>
        <w:jc w:val="right"/>
      </w:pPr>
      <w:r>
        <w:t>комиссии Кемеровской области</w:t>
      </w:r>
    </w:p>
    <w:p w:rsidR="00344B41" w:rsidRDefault="00344B41" w:rsidP="00344B41">
      <w:pPr>
        <w:pStyle w:val="FR1"/>
        <w:ind w:left="0"/>
        <w:jc w:val="right"/>
      </w:pPr>
      <w:r>
        <w:t xml:space="preserve">от « </w:t>
      </w:r>
      <w:r w:rsidR="000B5941">
        <w:t>31</w:t>
      </w:r>
      <w:r>
        <w:t xml:space="preserve"> » </w:t>
      </w:r>
      <w:r w:rsidR="001B7E1A">
        <w:t>янва</w:t>
      </w:r>
      <w:r>
        <w:t>ря 201</w:t>
      </w:r>
      <w:r w:rsidR="001B7E1A">
        <w:t>4</w:t>
      </w:r>
      <w:r>
        <w:t xml:space="preserve"> года № </w:t>
      </w:r>
      <w:r w:rsidR="000B5941">
        <w:t>35</w:t>
      </w:r>
    </w:p>
    <w:p w:rsidR="00344B41" w:rsidRDefault="00344B41" w:rsidP="00344B41">
      <w:pPr>
        <w:pStyle w:val="FR1"/>
        <w:ind w:left="0"/>
        <w:jc w:val="right"/>
      </w:pPr>
    </w:p>
    <w:p w:rsidR="00344B41" w:rsidRPr="002745EA" w:rsidRDefault="00344B41" w:rsidP="00344B41">
      <w:pPr>
        <w:pStyle w:val="FR1"/>
        <w:ind w:left="0"/>
        <w:rPr>
          <w:b/>
        </w:rPr>
      </w:pPr>
      <w:r w:rsidRPr="002745EA">
        <w:rPr>
          <w:b/>
        </w:rPr>
        <w:t>Плата за технологическое присоединение заявителей до 15 к</w:t>
      </w:r>
      <w:proofErr w:type="gramStart"/>
      <w:r w:rsidRPr="002745EA">
        <w:rPr>
          <w:b/>
        </w:rPr>
        <w:t>Вт вкл</w:t>
      </w:r>
      <w:proofErr w:type="gramEnd"/>
      <w:r w:rsidRPr="002745EA">
        <w:rPr>
          <w:b/>
        </w:rPr>
        <w:t>ючительно</w:t>
      </w:r>
      <w:r>
        <w:rPr>
          <w:b/>
        </w:rPr>
        <w:t>,</w:t>
      </w:r>
      <w:r w:rsidRPr="002745EA">
        <w:rPr>
          <w:b/>
        </w:rPr>
        <w:t xml:space="preserve"> к электрическим сетям филиала ОАО </w:t>
      </w:r>
      <w:r>
        <w:rPr>
          <w:b/>
        </w:rPr>
        <w:t>«</w:t>
      </w:r>
      <w:r w:rsidRPr="002745EA">
        <w:rPr>
          <w:b/>
        </w:rPr>
        <w:t>МРСК Сибири</w:t>
      </w:r>
      <w:r>
        <w:rPr>
          <w:b/>
        </w:rPr>
        <w:t>»</w:t>
      </w:r>
      <w:r w:rsidRPr="002745EA">
        <w:rPr>
          <w:b/>
        </w:rPr>
        <w:t xml:space="preserve"> - </w:t>
      </w:r>
      <w:r>
        <w:rPr>
          <w:b/>
        </w:rPr>
        <w:t>«</w:t>
      </w:r>
      <w:r w:rsidRPr="002745EA">
        <w:rPr>
          <w:b/>
        </w:rPr>
        <w:t>Кузбассэнерго - РЭС</w:t>
      </w:r>
      <w:r>
        <w:rPr>
          <w:b/>
        </w:rPr>
        <w:t>» на 201</w:t>
      </w:r>
      <w:r w:rsidR="00F41D7F">
        <w:rPr>
          <w:b/>
        </w:rPr>
        <w:t>4</w:t>
      </w:r>
      <w:r>
        <w:rPr>
          <w:b/>
        </w:rPr>
        <w:t xml:space="preserve"> год</w:t>
      </w:r>
    </w:p>
    <w:p w:rsidR="00344B41" w:rsidRDefault="00344B41" w:rsidP="00344B41">
      <w:pPr>
        <w:pStyle w:val="FR1"/>
        <w:ind w:left="0"/>
        <w:jc w:val="right"/>
      </w:pPr>
      <w:r>
        <w:t>руб.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54"/>
        <w:gridCol w:w="1701"/>
      </w:tblGrid>
      <w:tr w:rsidR="00344B41" w:rsidTr="0031400F">
        <w:tc>
          <w:tcPr>
            <w:tcW w:w="959" w:type="dxa"/>
            <w:shd w:val="clear" w:color="auto" w:fill="auto"/>
          </w:tcPr>
          <w:p w:rsidR="00344B41" w:rsidRDefault="00344B41" w:rsidP="0031400F">
            <w:pPr>
              <w:pStyle w:val="FR1"/>
              <w:ind w:left="0"/>
            </w:pPr>
            <w:r>
              <w:t>№</w:t>
            </w:r>
          </w:p>
        </w:tc>
        <w:tc>
          <w:tcPr>
            <w:tcW w:w="7654" w:type="dxa"/>
            <w:shd w:val="clear" w:color="auto" w:fill="auto"/>
          </w:tcPr>
          <w:p w:rsidR="00344B41" w:rsidRDefault="00344B41" w:rsidP="0031400F">
            <w:pPr>
              <w:pStyle w:val="FR1"/>
              <w:ind w:left="0"/>
            </w:pPr>
            <w:r>
              <w:t>Наименование мероприятий</w:t>
            </w:r>
          </w:p>
        </w:tc>
        <w:tc>
          <w:tcPr>
            <w:tcW w:w="1701" w:type="dxa"/>
            <w:shd w:val="clear" w:color="auto" w:fill="auto"/>
          </w:tcPr>
          <w:p w:rsidR="00344B41" w:rsidRDefault="00344B41" w:rsidP="0031400F">
            <w:pPr>
              <w:pStyle w:val="FR1"/>
              <w:ind w:left="0"/>
            </w:pPr>
            <w:r>
              <w:t>Утверждено РЭК</w:t>
            </w:r>
          </w:p>
        </w:tc>
      </w:tr>
      <w:tr w:rsidR="00344B41" w:rsidTr="0031400F">
        <w:tc>
          <w:tcPr>
            <w:tcW w:w="959" w:type="dxa"/>
            <w:shd w:val="clear" w:color="auto" w:fill="auto"/>
          </w:tcPr>
          <w:p w:rsidR="00344B41" w:rsidRDefault="00344B41" w:rsidP="0031400F">
            <w:pPr>
              <w:pStyle w:val="FR1"/>
              <w:ind w:left="0"/>
            </w:pPr>
            <w:r>
              <w:t>1</w:t>
            </w:r>
          </w:p>
        </w:tc>
        <w:tc>
          <w:tcPr>
            <w:tcW w:w="7654" w:type="dxa"/>
            <w:shd w:val="clear" w:color="auto" w:fill="auto"/>
          </w:tcPr>
          <w:p w:rsidR="00344B41" w:rsidRDefault="00344B41" w:rsidP="0031400F">
            <w:pPr>
              <w:pStyle w:val="FR1"/>
              <w:ind w:left="0"/>
            </w:pPr>
            <w:r>
              <w:t>2</w:t>
            </w:r>
          </w:p>
        </w:tc>
        <w:tc>
          <w:tcPr>
            <w:tcW w:w="1701" w:type="dxa"/>
            <w:shd w:val="clear" w:color="auto" w:fill="auto"/>
          </w:tcPr>
          <w:p w:rsidR="00344B41" w:rsidRDefault="00344B41" w:rsidP="0031400F">
            <w:pPr>
              <w:pStyle w:val="FR1"/>
              <w:ind w:left="0"/>
            </w:pPr>
            <w:r>
              <w:t>3</w:t>
            </w:r>
          </w:p>
        </w:tc>
      </w:tr>
      <w:tr w:rsidR="00344B41" w:rsidRPr="009F0783" w:rsidTr="0031400F">
        <w:tc>
          <w:tcPr>
            <w:tcW w:w="959" w:type="dxa"/>
            <w:shd w:val="clear" w:color="auto" w:fill="auto"/>
            <w:vAlign w:val="center"/>
          </w:tcPr>
          <w:p w:rsidR="00344B41" w:rsidRDefault="00344B41" w:rsidP="0031400F">
            <w:pPr>
              <w:pStyle w:val="FR1"/>
              <w:ind w:left="0"/>
            </w:pPr>
            <w:r>
              <w:t>1</w:t>
            </w:r>
          </w:p>
        </w:tc>
        <w:tc>
          <w:tcPr>
            <w:tcW w:w="7654" w:type="dxa"/>
            <w:shd w:val="clear" w:color="auto" w:fill="auto"/>
          </w:tcPr>
          <w:p w:rsidR="00344B41" w:rsidRDefault="00344B41" w:rsidP="0031400F">
            <w:pPr>
              <w:pStyle w:val="FR1"/>
              <w:ind w:left="0"/>
              <w:jc w:val="both"/>
            </w:pPr>
            <w:proofErr w:type="gramStart"/>
            <w:r w:rsidRPr="009F0783">
              <w:t>Заявитель - физическое лицо, подающее заявку на технологическое присоединение энергопринимающих устройств при условии, что расстояние от границ участка заявителя до объектов электросетевого хозяйства необходимого заявителю класса напряжения сет</w:t>
            </w:r>
            <w:bookmarkStart w:id="0" w:name="_GoBack"/>
            <w:bookmarkEnd w:id="0"/>
            <w:r w:rsidRPr="009F0783">
              <w:t xml:space="preserve">евой организации, в которую подана заявка, составляет не более </w:t>
            </w:r>
            <w:smartTag w:uri="urn:schemas-microsoft-com:office:smarttags" w:element="metricconverter">
              <w:smartTagPr>
                <w:attr w:name="ProductID" w:val="300 метров"/>
              </w:smartTagPr>
              <w:r w:rsidRPr="009F0783">
                <w:t>300 метров</w:t>
              </w:r>
            </w:smartTag>
            <w:r w:rsidRPr="009F0783">
              <w:t xml:space="preserve"> в городах и поселках городского типа и не более </w:t>
            </w:r>
            <w:smartTag w:uri="urn:schemas-microsoft-com:office:smarttags" w:element="metricconverter">
              <w:smartTagPr>
                <w:attr w:name="ProductID" w:val="500 метров"/>
              </w:smartTagPr>
              <w:r w:rsidRPr="009F0783">
                <w:t>500 метров</w:t>
              </w:r>
            </w:smartTag>
            <w:r w:rsidRPr="009F0783">
              <w:t xml:space="preserve"> в сельской местности </w:t>
            </w:r>
            <w:hyperlink r:id="rId5" w:history="1">
              <w:r w:rsidRPr="009F0783">
                <w:t>&lt;*&gt;</w:t>
              </w:r>
            </w:hyperlink>
            <w:proofErr w:type="gramEnd"/>
          </w:p>
        </w:tc>
        <w:tc>
          <w:tcPr>
            <w:tcW w:w="1701" w:type="dxa"/>
            <w:shd w:val="clear" w:color="auto" w:fill="auto"/>
            <w:vAlign w:val="center"/>
          </w:tcPr>
          <w:p w:rsidR="00344B41" w:rsidRDefault="00344B41" w:rsidP="0031400F">
            <w:pPr>
              <w:pStyle w:val="FR1"/>
              <w:ind w:left="0"/>
            </w:pPr>
            <w:r w:rsidRPr="009F0783">
              <w:t>550 (с НДС)</w:t>
            </w:r>
          </w:p>
        </w:tc>
      </w:tr>
      <w:tr w:rsidR="00344B41" w:rsidTr="0031400F">
        <w:tc>
          <w:tcPr>
            <w:tcW w:w="959" w:type="dxa"/>
            <w:shd w:val="clear" w:color="auto" w:fill="auto"/>
            <w:vAlign w:val="center"/>
          </w:tcPr>
          <w:p w:rsidR="00344B41" w:rsidRDefault="00344B41" w:rsidP="0031400F">
            <w:pPr>
              <w:pStyle w:val="FR1"/>
              <w:ind w:left="0"/>
            </w:pPr>
            <w:r>
              <w:t>2</w:t>
            </w:r>
          </w:p>
        </w:tc>
        <w:tc>
          <w:tcPr>
            <w:tcW w:w="7654" w:type="dxa"/>
            <w:shd w:val="clear" w:color="auto" w:fill="auto"/>
          </w:tcPr>
          <w:p w:rsidR="00344B41" w:rsidRDefault="00344B41" w:rsidP="0031400F">
            <w:pPr>
              <w:pStyle w:val="FR1"/>
              <w:ind w:left="0"/>
              <w:jc w:val="both"/>
            </w:pPr>
            <w:proofErr w:type="gramStart"/>
            <w:r w:rsidRPr="009F0783">
              <w:t xml:space="preserve">Заявитель - юридическое лицо, не являющееся плательщиком налога на добавленную стоимость, - подающий заявку на технологическое присоединение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w:t>
            </w:r>
            <w:smartTag w:uri="urn:schemas-microsoft-com:office:smarttags" w:element="metricconverter">
              <w:smartTagPr>
                <w:attr w:name="ProductID" w:val="300 метров"/>
              </w:smartTagPr>
              <w:r w:rsidRPr="009F0783">
                <w:t>300 метров</w:t>
              </w:r>
            </w:smartTag>
            <w:r w:rsidRPr="009F0783">
              <w:t xml:space="preserve"> в городах и поселках городского типа и не более </w:t>
            </w:r>
            <w:smartTag w:uri="urn:schemas-microsoft-com:office:smarttags" w:element="metricconverter">
              <w:smartTagPr>
                <w:attr w:name="ProductID" w:val="500 метров"/>
              </w:smartTagPr>
              <w:r w:rsidRPr="009F0783">
                <w:t>500 метров</w:t>
              </w:r>
            </w:smartTag>
            <w:r w:rsidRPr="009F0783">
              <w:t xml:space="preserve"> в сельской местности </w:t>
            </w:r>
            <w:hyperlink r:id="rId6" w:history="1">
              <w:r w:rsidRPr="009F0783">
                <w:t>&lt;*&gt;</w:t>
              </w:r>
            </w:hyperlink>
            <w:proofErr w:type="gramEnd"/>
          </w:p>
        </w:tc>
        <w:tc>
          <w:tcPr>
            <w:tcW w:w="1701" w:type="dxa"/>
            <w:shd w:val="clear" w:color="auto" w:fill="auto"/>
            <w:vAlign w:val="center"/>
          </w:tcPr>
          <w:p w:rsidR="00344B41" w:rsidRDefault="00344B41" w:rsidP="0031400F">
            <w:pPr>
              <w:pStyle w:val="FR1"/>
              <w:ind w:left="0"/>
            </w:pPr>
            <w:r w:rsidRPr="009F0783">
              <w:t>550 (с НДС)</w:t>
            </w:r>
          </w:p>
        </w:tc>
      </w:tr>
      <w:tr w:rsidR="00344B41" w:rsidTr="0031400F">
        <w:tc>
          <w:tcPr>
            <w:tcW w:w="959" w:type="dxa"/>
            <w:shd w:val="clear" w:color="auto" w:fill="auto"/>
            <w:vAlign w:val="center"/>
          </w:tcPr>
          <w:p w:rsidR="00344B41" w:rsidRDefault="00344B41" w:rsidP="0031400F">
            <w:pPr>
              <w:pStyle w:val="FR1"/>
              <w:ind w:left="0"/>
            </w:pPr>
            <w:r>
              <w:t>3</w:t>
            </w:r>
          </w:p>
        </w:tc>
        <w:tc>
          <w:tcPr>
            <w:tcW w:w="7654" w:type="dxa"/>
            <w:shd w:val="clear" w:color="auto" w:fill="auto"/>
          </w:tcPr>
          <w:p w:rsidR="00344B41" w:rsidRDefault="00344B41" w:rsidP="0031400F">
            <w:pPr>
              <w:pStyle w:val="FR1"/>
              <w:ind w:left="0"/>
              <w:jc w:val="both"/>
            </w:pPr>
            <w:proofErr w:type="gramStart"/>
            <w:r w:rsidRPr="009F0783">
              <w:t xml:space="preserve">Заявитель - юридическое лицо, являющееся плательщиком налога на добавленную стоимость, - подающий заявку на технологическое присоединение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w:t>
            </w:r>
            <w:smartTag w:uri="urn:schemas-microsoft-com:office:smarttags" w:element="metricconverter">
              <w:smartTagPr>
                <w:attr w:name="ProductID" w:val="300 метров"/>
              </w:smartTagPr>
              <w:r w:rsidRPr="009F0783">
                <w:t>300 метров</w:t>
              </w:r>
            </w:smartTag>
            <w:r w:rsidRPr="009F0783">
              <w:t xml:space="preserve"> в городах и поселках городского типа и не более </w:t>
            </w:r>
            <w:smartTag w:uri="urn:schemas-microsoft-com:office:smarttags" w:element="metricconverter">
              <w:smartTagPr>
                <w:attr w:name="ProductID" w:val="500 метров"/>
              </w:smartTagPr>
              <w:r w:rsidRPr="009F0783">
                <w:t>500 метров</w:t>
              </w:r>
            </w:smartTag>
            <w:r w:rsidRPr="009F0783">
              <w:t xml:space="preserve"> в сельской местности </w:t>
            </w:r>
            <w:hyperlink r:id="rId7" w:history="1">
              <w:r w:rsidRPr="009F0783">
                <w:t>&lt;*&gt;</w:t>
              </w:r>
            </w:hyperlink>
            <w:proofErr w:type="gramEnd"/>
          </w:p>
        </w:tc>
        <w:tc>
          <w:tcPr>
            <w:tcW w:w="1701" w:type="dxa"/>
            <w:shd w:val="clear" w:color="auto" w:fill="auto"/>
            <w:vAlign w:val="center"/>
          </w:tcPr>
          <w:p w:rsidR="00344B41" w:rsidRDefault="00344B41" w:rsidP="001B7E1A">
            <w:pPr>
              <w:pStyle w:val="FR1"/>
              <w:ind w:left="0"/>
            </w:pPr>
            <w:r>
              <w:t>4</w:t>
            </w:r>
            <w:r w:rsidR="00F41D7F">
              <w:t>6</w:t>
            </w:r>
            <w:r>
              <w:t>6,10</w:t>
            </w:r>
            <w:r w:rsidRPr="009F0783">
              <w:t xml:space="preserve"> (</w:t>
            </w:r>
            <w:r w:rsidR="001B7E1A">
              <w:t>без</w:t>
            </w:r>
            <w:r w:rsidRPr="009F0783">
              <w:t xml:space="preserve"> НДС)</w:t>
            </w:r>
          </w:p>
        </w:tc>
      </w:tr>
    </w:tbl>
    <w:p w:rsidR="00344B41" w:rsidRDefault="00344B41" w:rsidP="00344B41">
      <w:pPr>
        <w:autoSpaceDE w:val="0"/>
        <w:autoSpaceDN w:val="0"/>
        <w:adjustRightInd w:val="0"/>
        <w:ind w:firstLine="540"/>
        <w:jc w:val="both"/>
        <w:rPr>
          <w:sz w:val="28"/>
          <w:szCs w:val="28"/>
        </w:rPr>
      </w:pPr>
      <w:proofErr w:type="gramStart"/>
      <w:r w:rsidRPr="009F0783">
        <w:rPr>
          <w:sz w:val="28"/>
          <w:szCs w:val="28"/>
        </w:rPr>
        <w:t>&lt;*&gt;</w:t>
      </w:r>
      <w:r>
        <w:rPr>
          <w:sz w:val="28"/>
          <w:szCs w:val="28"/>
        </w:rPr>
        <w:t xml:space="preserve">В соответствии с </w:t>
      </w:r>
      <w:r w:rsidRPr="002F35A1">
        <w:rPr>
          <w:color w:val="000000"/>
          <w:sz w:val="28"/>
          <w:szCs w:val="28"/>
        </w:rPr>
        <w:t xml:space="preserve">п. 18 Методических </w:t>
      </w:r>
      <w:r>
        <w:rPr>
          <w:sz w:val="28"/>
          <w:szCs w:val="28"/>
        </w:rPr>
        <w:t>указаний по определению размера платы за технологическое присоединение к электрическим сетям (утвержденных Приказом ФСТ России от 11.09.2012 №209-э/1) 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составляет не более 550 рублей, при присоединении объектов</w:t>
      </w:r>
      <w:proofErr w:type="gramEnd"/>
      <w:r>
        <w:rPr>
          <w:sz w:val="28"/>
          <w:szCs w:val="28"/>
        </w:rPr>
        <w:t xml:space="preserve">, отнесенных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уровня напряжения сетевой организации, в которую подана заявка, составляет не более </w:t>
      </w:r>
      <w:smartTag w:uri="urn:schemas-microsoft-com:office:smarttags" w:element="metricconverter">
        <w:smartTagPr>
          <w:attr w:name="ProductID" w:val="300 метров"/>
        </w:smartTagPr>
        <w:r>
          <w:rPr>
            <w:sz w:val="28"/>
            <w:szCs w:val="28"/>
          </w:rPr>
          <w:t>300 метров</w:t>
        </w:r>
      </w:smartTag>
      <w:r>
        <w:rPr>
          <w:sz w:val="28"/>
          <w:szCs w:val="28"/>
        </w:rPr>
        <w:t xml:space="preserve"> в городах и поселках городского типа и не более </w:t>
      </w:r>
      <w:smartTag w:uri="urn:schemas-microsoft-com:office:smarttags" w:element="metricconverter">
        <w:smartTagPr>
          <w:attr w:name="ProductID" w:val="500 метров"/>
        </w:smartTagPr>
        <w:r>
          <w:rPr>
            <w:sz w:val="28"/>
            <w:szCs w:val="28"/>
          </w:rPr>
          <w:t>500 метров</w:t>
        </w:r>
      </w:smartTag>
      <w:r>
        <w:rPr>
          <w:sz w:val="28"/>
          <w:szCs w:val="28"/>
        </w:rPr>
        <w:t xml:space="preserve"> в сельской местности.</w:t>
      </w:r>
    </w:p>
    <w:p w:rsidR="00344B41" w:rsidRPr="009F0783" w:rsidRDefault="00344B41" w:rsidP="00344B41">
      <w:pPr>
        <w:autoSpaceDE w:val="0"/>
        <w:autoSpaceDN w:val="0"/>
        <w:adjustRightInd w:val="0"/>
        <w:ind w:firstLine="540"/>
        <w:jc w:val="both"/>
        <w:rPr>
          <w:sz w:val="28"/>
          <w:szCs w:val="28"/>
        </w:rPr>
      </w:pPr>
      <w:proofErr w:type="gramStart"/>
      <w:r w:rsidRPr="009F0783">
        <w:rPr>
          <w:sz w:val="28"/>
          <w:szCs w:val="28"/>
        </w:rPr>
        <w:lastRenderedPageBreak/>
        <w:t>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по первой и (или) второй категории надежности, т.е. к двум независимым источникам электроснабжения, производится по ставке платы, утвержденной регулирующим органом в соответствии с принятой в субъекте Российской Федерации дифференциацией ставок платы за</w:t>
      </w:r>
      <w:proofErr w:type="gramEnd"/>
      <w:r w:rsidRPr="009F0783">
        <w:rPr>
          <w:sz w:val="28"/>
          <w:szCs w:val="28"/>
        </w:rPr>
        <w:t xml:space="preserve"> технологическое присоединение, за объем максимальной мощности, указанной в заявке на технологическое присоединение, по выбранной категории надежности.</w:t>
      </w:r>
    </w:p>
    <w:p w:rsidR="00344B41" w:rsidRDefault="00344B41" w:rsidP="00344B41">
      <w:pPr>
        <w:autoSpaceDE w:val="0"/>
        <w:autoSpaceDN w:val="0"/>
        <w:adjustRightInd w:val="0"/>
        <w:ind w:firstLine="540"/>
        <w:jc w:val="both"/>
        <w:rPr>
          <w:sz w:val="28"/>
          <w:szCs w:val="28"/>
        </w:rPr>
      </w:pPr>
      <w:proofErr w:type="gramStart"/>
      <w:r w:rsidRPr="009F0783">
        <w:rPr>
          <w:sz w:val="28"/>
          <w:szCs w:val="28"/>
        </w:rPr>
        <w:t>Если Заявителем на технологическое присоединение выступает: 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содержащееся за счет прихожан религиозная организация, объединение граждан, объединивших свои хозяйственные постройки (погреба, сараи и иные сооружения аналогичного назначения), то плата для указанных Заявителей не должна превышать 550 рублей</w:t>
      </w:r>
      <w:proofErr w:type="gramEnd"/>
      <w:r w:rsidRPr="009F0783">
        <w:rPr>
          <w:sz w:val="28"/>
          <w:szCs w:val="28"/>
        </w:rPr>
        <w:t>, умноженных на количество членов (абонентов) этих объединений (организаций), при условии присоединения каждым членом этого объединения (организации) не более 15 кВт.</w:t>
      </w:r>
    </w:p>
    <w:p w:rsidR="00344B41" w:rsidRPr="00D72D5C" w:rsidRDefault="00344B41" w:rsidP="001B7E1A">
      <w:pPr>
        <w:autoSpaceDE w:val="0"/>
        <w:autoSpaceDN w:val="0"/>
        <w:adjustRightInd w:val="0"/>
        <w:ind w:firstLine="540"/>
        <w:jc w:val="both"/>
      </w:pPr>
      <w:r>
        <w:rPr>
          <w:sz w:val="28"/>
          <w:szCs w:val="28"/>
        </w:rPr>
        <w:t>Разница между экономически обоснованными расходами, определенными сетевой организацией для данного присоединения, и вышеуказанной платой, установленной для включенных в перечень некоммерческих организаций, учитывается в тарифах на услуги по передаче электрической энергии.</w:t>
      </w:r>
    </w:p>
    <w:sectPr w:rsidR="00344B41" w:rsidRPr="00D72D5C" w:rsidSect="00057E96">
      <w:pgSz w:w="11906" w:h="16838" w:code="9"/>
      <w:pgMar w:top="1079" w:right="707" w:bottom="142" w:left="1134" w:header="720" w:footer="2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3D"/>
    <w:rsid w:val="000B5941"/>
    <w:rsid w:val="001B7E1A"/>
    <w:rsid w:val="00344B41"/>
    <w:rsid w:val="00534698"/>
    <w:rsid w:val="00C24B3D"/>
    <w:rsid w:val="00F41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B4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344B41"/>
    <w:pPr>
      <w:widowControl w:val="0"/>
      <w:snapToGrid w:val="0"/>
      <w:spacing w:after="0" w:line="240" w:lineRule="auto"/>
      <w:ind w:left="200"/>
      <w:jc w:val="center"/>
    </w:pPr>
    <w:rPr>
      <w:rFonts w:ascii="Times New Roman" w:eastAsia="Times New Roman" w:hAnsi="Times New Roman" w:cs="Times New Roman"/>
      <w:sz w:val="28"/>
      <w:szCs w:val="28"/>
      <w:lang w:eastAsia="ru-RU"/>
    </w:rPr>
  </w:style>
  <w:style w:type="paragraph" w:customStyle="1" w:styleId="ConsPlusCell">
    <w:name w:val="ConsPlusCell"/>
    <w:uiPriority w:val="99"/>
    <w:rsid w:val="00344B41"/>
    <w:pPr>
      <w:autoSpaceDE w:val="0"/>
      <w:autoSpaceDN w:val="0"/>
      <w:adjustRightInd w:val="0"/>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B4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344B41"/>
    <w:pPr>
      <w:widowControl w:val="0"/>
      <w:snapToGrid w:val="0"/>
      <w:spacing w:after="0" w:line="240" w:lineRule="auto"/>
      <w:ind w:left="200"/>
      <w:jc w:val="center"/>
    </w:pPr>
    <w:rPr>
      <w:rFonts w:ascii="Times New Roman" w:eastAsia="Times New Roman" w:hAnsi="Times New Roman" w:cs="Times New Roman"/>
      <w:sz w:val="28"/>
      <w:szCs w:val="28"/>
      <w:lang w:eastAsia="ru-RU"/>
    </w:rPr>
  </w:style>
  <w:style w:type="paragraph" w:customStyle="1" w:styleId="ConsPlusCell">
    <w:name w:val="ConsPlusCell"/>
    <w:uiPriority w:val="99"/>
    <w:rsid w:val="00344B41"/>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2BBD31A1F284EEEFD5FCD9302C3C3F314B35BA5ECBB826A0858BDB1A9A8FF537D29FBC872AF3822A9964EBFuB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2BBD31A1F284EEEFD5FCD9302C3C3F314B35BA5ECBB826A0858BDB1A9A8FF537D29FBC872AF3822A9964EBFuBL" TargetMode="External"/><Relationship Id="rId5" Type="http://schemas.openxmlformats.org/officeDocument/2006/relationships/hyperlink" Target="consultantplus://offline/ref=E2BBD31A1F284EEEFD5FCD9302C3C3F314B35BA5ECBB826A0858BDB1A9A8FF537D29FBC872AF3822A9964EBFuB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zaripov</dc:creator>
  <cp:lastModifiedBy>neznanov</cp:lastModifiedBy>
  <cp:revision>3</cp:revision>
  <dcterms:created xsi:type="dcterms:W3CDTF">2014-01-29T11:09:00Z</dcterms:created>
  <dcterms:modified xsi:type="dcterms:W3CDTF">2014-01-31T14:15:00Z</dcterms:modified>
</cp:coreProperties>
</file>